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pPr>
      <w:r>
        <w:t xml:space="preserve"> </w:t>
      </w:r>
    </w:p>
    <w:p>
      <w:pPr>
        <w:pStyle w:val="25"/>
        <w:spacing w:line="360" w:lineRule="auto"/>
        <w:rPr>
          <w:sz w:val="48"/>
          <w:szCs w:val="48"/>
        </w:rPr>
      </w:pPr>
      <w:r>
        <w:rPr>
          <w:rFonts w:hint="eastAsia"/>
          <w:sz w:val="48"/>
          <w:szCs w:val="48"/>
        </w:rPr>
        <w:t>上海交通大学钱学森图书馆</w:t>
      </w:r>
    </w:p>
    <w:p>
      <w:pPr>
        <w:pStyle w:val="25"/>
        <w:spacing w:line="360" w:lineRule="auto"/>
        <w:rPr>
          <w:sz w:val="48"/>
          <w:szCs w:val="48"/>
        </w:rPr>
      </w:pPr>
    </w:p>
    <w:p>
      <w:pPr>
        <w:spacing w:line="760" w:lineRule="exact"/>
        <w:jc w:val="center"/>
        <w:rPr>
          <w:rFonts w:ascii="黑体" w:hAnsi="黑体" w:eastAsia="黑体" w:cs="黑体"/>
          <w:b/>
          <w:sz w:val="36"/>
          <w:szCs w:val="36"/>
        </w:rPr>
      </w:pPr>
      <w:r>
        <w:rPr>
          <w:rFonts w:hint="eastAsia" w:ascii="黑体" w:hAnsi="黑体" w:eastAsia="黑体" w:cs="黑体"/>
          <w:b/>
          <w:sz w:val="36"/>
          <w:szCs w:val="36"/>
        </w:rPr>
        <w:t>“</w:t>
      </w:r>
      <w:r>
        <w:rPr>
          <w:rFonts w:hint="eastAsia" w:ascii="黑体" w:hAnsi="黑体" w:eastAsia="黑体" w:cs="黑体"/>
          <w:b/>
          <w:sz w:val="36"/>
          <w:szCs w:val="36"/>
          <w:lang w:eastAsia="zh-Hans"/>
        </w:rPr>
        <w:t>郭永怀生平事迹展</w:t>
      </w:r>
      <w:r>
        <w:rPr>
          <w:rFonts w:hint="eastAsia" w:ascii="黑体" w:hAnsi="黑体" w:eastAsia="黑体" w:cs="黑体"/>
          <w:b/>
          <w:sz w:val="36"/>
          <w:szCs w:val="36"/>
        </w:rPr>
        <w:t>”</w:t>
      </w:r>
    </w:p>
    <w:p>
      <w:pPr>
        <w:spacing w:line="760" w:lineRule="exact"/>
        <w:jc w:val="center"/>
        <w:rPr>
          <w:sz w:val="52"/>
          <w:szCs w:val="52"/>
        </w:rPr>
      </w:pPr>
      <w:r>
        <w:rPr>
          <w:rFonts w:hint="eastAsia" w:ascii="黑体" w:hAnsi="黑体" w:eastAsia="黑体" w:cs="黑体"/>
          <w:sz w:val="36"/>
          <w:szCs w:val="36"/>
        </w:rPr>
        <w:t>设计\制作\施工</w:t>
      </w:r>
    </w:p>
    <w:p>
      <w:pPr>
        <w:pStyle w:val="25"/>
        <w:spacing w:line="360" w:lineRule="auto"/>
        <w:rPr>
          <w:sz w:val="52"/>
          <w:szCs w:val="52"/>
        </w:rPr>
      </w:pPr>
    </w:p>
    <w:p>
      <w:pPr>
        <w:pStyle w:val="25"/>
        <w:spacing w:line="360" w:lineRule="auto"/>
        <w:rPr>
          <w:sz w:val="48"/>
          <w:szCs w:val="48"/>
        </w:rPr>
      </w:pPr>
      <w:r>
        <w:rPr>
          <w:rFonts w:hint="eastAsia"/>
          <w:sz w:val="48"/>
          <w:szCs w:val="48"/>
        </w:rPr>
        <w:t>邀标文件</w:t>
      </w:r>
    </w:p>
    <w:p>
      <w:pPr>
        <w:pStyle w:val="25"/>
        <w:spacing w:line="360" w:lineRule="auto"/>
        <w:rPr>
          <w:sz w:val="48"/>
          <w:szCs w:val="48"/>
        </w:rPr>
      </w:pPr>
      <w:r>
        <w:drawing>
          <wp:inline distT="0" distB="0" distL="114300" distR="114300">
            <wp:extent cx="2656840" cy="2659380"/>
            <wp:effectExtent l="0" t="0" r="0" b="0"/>
            <wp:docPr id="3" name="图片 3" descr="校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校徽"/>
                    <pic:cNvPicPr>
                      <a:picLocks noChangeAspect="1"/>
                    </pic:cNvPicPr>
                  </pic:nvPicPr>
                  <pic:blipFill>
                    <a:blip r:embed="rId7"/>
                    <a:stretch>
                      <a:fillRect/>
                    </a:stretch>
                  </pic:blipFill>
                  <pic:spPr>
                    <a:xfrm>
                      <a:off x="0" y="0"/>
                      <a:ext cx="2656840" cy="2659380"/>
                    </a:xfrm>
                    <a:prstGeom prst="rect">
                      <a:avLst/>
                    </a:prstGeom>
                  </pic:spPr>
                </pic:pic>
              </a:graphicData>
            </a:graphic>
          </wp:inline>
        </w:drawing>
      </w:r>
    </w:p>
    <w:p>
      <w:pPr>
        <w:pStyle w:val="25"/>
      </w:pPr>
    </w:p>
    <w:p>
      <w:pPr>
        <w:pStyle w:val="25"/>
        <w:jc w:val="both"/>
      </w:pPr>
    </w:p>
    <w:p>
      <w:pPr>
        <w:pStyle w:val="25"/>
        <w:jc w:val="both"/>
      </w:pPr>
    </w:p>
    <w:p>
      <w:pPr>
        <w:pStyle w:val="25"/>
        <w:jc w:val="both"/>
      </w:pPr>
    </w:p>
    <w:p>
      <w:pPr>
        <w:pStyle w:val="25"/>
      </w:pPr>
      <w:r>
        <w:rPr>
          <w:rFonts w:hint="eastAsia"/>
        </w:rPr>
        <w:t>上 海 交 通 大 学</w:t>
      </w:r>
    </w:p>
    <w:p>
      <w:pPr>
        <w:pStyle w:val="25"/>
      </w:pPr>
      <w:r>
        <w:rPr>
          <w:rFonts w:hint="eastAsia"/>
        </w:rPr>
        <w:t>20</w:t>
      </w:r>
      <w:r>
        <w:t>21</w:t>
      </w:r>
      <w:r>
        <w:rPr>
          <w:rFonts w:hint="eastAsia"/>
        </w:rPr>
        <w:t>年</w:t>
      </w:r>
      <w:r>
        <w:t>6</w:t>
      </w:r>
      <w:r>
        <w:rPr>
          <w:rFonts w:hint="eastAsia"/>
        </w:rPr>
        <w:t>月</w:t>
      </w:r>
    </w:p>
    <w:p>
      <w:pPr>
        <w:jc w:val="center"/>
        <w:rPr>
          <w:rFonts w:ascii="华文细黑" w:hAnsi="华文细黑" w:eastAsia="华文细黑"/>
          <w:sz w:val="44"/>
          <w:u w:val="single"/>
        </w:rPr>
      </w:pPr>
    </w:p>
    <w:p>
      <w:pPr>
        <w:rPr>
          <w:rFonts w:ascii="宋体" w:hAnsi="宋体"/>
          <w:sz w:val="36"/>
          <w:szCs w:val="36"/>
        </w:rPr>
      </w:pPr>
    </w:p>
    <w:p>
      <w:pPr>
        <w:jc w:val="center"/>
        <w:rPr>
          <w:rFonts w:ascii="宋体" w:hAnsi="宋体"/>
          <w:sz w:val="36"/>
          <w:szCs w:val="36"/>
        </w:rPr>
      </w:pPr>
      <w:r>
        <w:rPr>
          <w:rFonts w:hint="eastAsia" w:ascii="宋体" w:hAnsi="宋体"/>
          <w:sz w:val="36"/>
          <w:szCs w:val="36"/>
        </w:rPr>
        <w:t>目  录</w:t>
      </w:r>
    </w:p>
    <w:p>
      <w:pPr>
        <w:jc w:val="center"/>
        <w:rPr>
          <w:rFonts w:ascii="宋体" w:hAnsi="宋体"/>
          <w:sz w:val="36"/>
          <w:szCs w:val="36"/>
        </w:rPr>
      </w:pPr>
    </w:p>
    <w:p>
      <w:pPr>
        <w:pStyle w:val="12"/>
        <w:rPr>
          <w:rStyle w:val="19"/>
          <w:rFonts w:ascii="宋体" w:hAnsi="宋体"/>
          <w:sz w:val="30"/>
          <w:szCs w:val="30"/>
        </w:rPr>
      </w:pP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r>
        <w:fldChar w:fldCharType="begin"/>
      </w:r>
      <w:r>
        <w:instrText xml:space="preserve"> HYPERLINK \l "_Toc325633805" </w:instrText>
      </w:r>
      <w:r>
        <w:fldChar w:fldCharType="separate"/>
      </w:r>
      <w:r>
        <w:rPr>
          <w:rStyle w:val="19"/>
          <w:rFonts w:hint="eastAsia" w:ascii="宋体" w:hAnsi="宋体"/>
          <w:sz w:val="30"/>
          <w:szCs w:val="30"/>
        </w:rPr>
        <w:t>第一部分</w:t>
      </w:r>
      <w:r>
        <w:rPr>
          <w:rStyle w:val="19"/>
          <w:rFonts w:ascii="宋体" w:hAnsi="宋体"/>
          <w:sz w:val="30"/>
          <w:szCs w:val="30"/>
        </w:rPr>
        <w:t xml:space="preserve"> </w:t>
      </w:r>
      <w:r>
        <w:rPr>
          <w:rStyle w:val="19"/>
          <w:rFonts w:hint="eastAsia" w:ascii="宋体" w:hAnsi="宋体"/>
          <w:sz w:val="30"/>
          <w:szCs w:val="30"/>
        </w:rPr>
        <w:t>投标邀请书</w:t>
      </w:r>
      <w:r>
        <w:rPr>
          <w:rStyle w:val="19"/>
          <w:rFonts w:hint="eastAsia"/>
          <w:sz w:val="30"/>
          <w:szCs w:val="30"/>
        </w:rPr>
        <w:t>...............................................................................</w:t>
      </w:r>
      <w:r>
        <w:rPr>
          <w:rFonts w:ascii="宋体" w:hAnsi="宋体"/>
          <w:sz w:val="30"/>
          <w:szCs w:val="30"/>
        </w:rPr>
        <w:fldChar w:fldCharType="begin"/>
      </w:r>
      <w:r>
        <w:rPr>
          <w:rFonts w:ascii="宋体" w:hAnsi="宋体"/>
          <w:sz w:val="30"/>
          <w:szCs w:val="30"/>
        </w:rPr>
        <w:instrText xml:space="preserve"> PAGEREF _Toc325633805 \h </w:instrText>
      </w:r>
      <w:r>
        <w:rPr>
          <w:rFonts w:ascii="宋体" w:hAnsi="宋体"/>
          <w:sz w:val="30"/>
          <w:szCs w:val="30"/>
        </w:rPr>
        <w:fldChar w:fldCharType="separate"/>
      </w:r>
      <w:r>
        <w:rPr>
          <w:rFonts w:ascii="宋体" w:hAnsi="宋体"/>
          <w:sz w:val="30"/>
          <w:szCs w:val="30"/>
        </w:rPr>
        <w:t>3</w:t>
      </w:r>
      <w:r>
        <w:rPr>
          <w:rFonts w:ascii="宋体" w:hAnsi="宋体"/>
          <w:sz w:val="30"/>
          <w:szCs w:val="30"/>
        </w:rPr>
        <w:fldChar w:fldCharType="end"/>
      </w:r>
      <w:r>
        <w:rPr>
          <w:rFonts w:ascii="宋体" w:hAnsi="宋体"/>
          <w:sz w:val="30"/>
          <w:szCs w:val="30"/>
        </w:rPr>
        <w:fldChar w:fldCharType="end"/>
      </w:r>
    </w:p>
    <w:p/>
    <w:p>
      <w:pPr>
        <w:pStyle w:val="12"/>
        <w:rPr>
          <w:rStyle w:val="19"/>
          <w:rFonts w:ascii="宋体" w:hAnsi="宋体"/>
          <w:sz w:val="30"/>
          <w:szCs w:val="30"/>
        </w:rPr>
      </w:pPr>
      <w:r>
        <w:fldChar w:fldCharType="begin"/>
      </w:r>
      <w:r>
        <w:instrText xml:space="preserve"> HYPERLINK \l "_Toc325633806" </w:instrText>
      </w:r>
      <w:r>
        <w:fldChar w:fldCharType="separate"/>
      </w:r>
      <w:r>
        <w:rPr>
          <w:rStyle w:val="19"/>
          <w:rFonts w:hint="eastAsia" w:ascii="宋体" w:hAnsi="宋体"/>
          <w:sz w:val="30"/>
          <w:szCs w:val="30"/>
        </w:rPr>
        <w:t>第二部分</w:t>
      </w:r>
      <w:r>
        <w:rPr>
          <w:rFonts w:hint="eastAsia" w:ascii="宋体" w:hAnsi="宋体"/>
          <w:kern w:val="2"/>
          <w:sz w:val="30"/>
          <w:szCs w:val="30"/>
        </w:rPr>
        <w:t xml:space="preserve"> </w:t>
      </w:r>
      <w:r>
        <w:rPr>
          <w:rStyle w:val="19"/>
          <w:rFonts w:hint="eastAsia" w:ascii="宋体" w:hAnsi="宋体"/>
          <w:sz w:val="30"/>
          <w:szCs w:val="30"/>
        </w:rPr>
        <w:t>投标方须知</w:t>
      </w:r>
      <w:r>
        <w:rPr>
          <w:rStyle w:val="19"/>
          <w:rFonts w:hint="eastAsia"/>
          <w:sz w:val="30"/>
          <w:szCs w:val="30"/>
        </w:rPr>
        <w:t>...............................................................................</w:t>
      </w:r>
      <w:r>
        <w:rPr>
          <w:rFonts w:ascii="宋体" w:hAnsi="宋体"/>
          <w:sz w:val="30"/>
          <w:szCs w:val="30"/>
        </w:rPr>
        <w:fldChar w:fldCharType="begin"/>
      </w:r>
      <w:r>
        <w:rPr>
          <w:rFonts w:ascii="宋体" w:hAnsi="宋体"/>
          <w:sz w:val="30"/>
          <w:szCs w:val="30"/>
        </w:rPr>
        <w:instrText xml:space="preserve"> PAGEREF _Toc325633806 \h </w:instrText>
      </w:r>
      <w:r>
        <w:rPr>
          <w:rFonts w:ascii="宋体" w:hAnsi="宋体"/>
          <w:sz w:val="30"/>
          <w:szCs w:val="30"/>
        </w:rPr>
        <w:fldChar w:fldCharType="separate"/>
      </w:r>
      <w:r>
        <w:rPr>
          <w:rFonts w:ascii="宋体" w:hAnsi="宋体"/>
          <w:sz w:val="30"/>
          <w:szCs w:val="30"/>
        </w:rPr>
        <w:t>4</w:t>
      </w:r>
      <w:r>
        <w:rPr>
          <w:rFonts w:ascii="宋体" w:hAnsi="宋体"/>
          <w:sz w:val="30"/>
          <w:szCs w:val="30"/>
        </w:rPr>
        <w:fldChar w:fldCharType="end"/>
      </w:r>
      <w:r>
        <w:rPr>
          <w:rFonts w:ascii="宋体" w:hAnsi="宋体"/>
          <w:sz w:val="30"/>
          <w:szCs w:val="30"/>
        </w:rPr>
        <w:fldChar w:fldCharType="end"/>
      </w:r>
    </w:p>
    <w:p/>
    <w:p>
      <w:pPr>
        <w:pStyle w:val="45"/>
        <w:jc w:val="left"/>
        <w:rPr>
          <w:rStyle w:val="19"/>
          <w:rFonts w:ascii="宋体" w:hAnsi="宋体"/>
          <w:sz w:val="30"/>
          <w:szCs w:val="30"/>
        </w:rPr>
      </w:pPr>
      <w:r>
        <w:fldChar w:fldCharType="begin"/>
      </w:r>
      <w:r>
        <w:instrText xml:space="preserve"> HYPERLINK \l "_Toc325633807" </w:instrText>
      </w:r>
      <w:r>
        <w:fldChar w:fldCharType="separate"/>
      </w:r>
      <w:r>
        <w:rPr>
          <w:rStyle w:val="19"/>
          <w:rFonts w:hint="eastAsia" w:ascii="宋体" w:hAnsi="宋体"/>
          <w:sz w:val="30"/>
          <w:szCs w:val="30"/>
        </w:rPr>
        <w:t>第</w:t>
      </w:r>
      <w:r>
        <w:rPr>
          <w:rStyle w:val="19"/>
          <w:rFonts w:hint="eastAsia"/>
          <w:kern w:val="0"/>
          <w:sz w:val="30"/>
          <w:szCs w:val="30"/>
        </w:rPr>
        <w:t>三部分 设计制作布展内容与要求.........................................................</w:t>
      </w:r>
      <w:r>
        <w:rPr>
          <w:rFonts w:hint="eastAsia" w:ascii="宋体" w:hAnsi="宋体"/>
          <w:sz w:val="30"/>
          <w:szCs w:val="30"/>
        </w:rPr>
        <w:t>8</w:t>
      </w:r>
      <w:r>
        <w:rPr>
          <w:rFonts w:hint="eastAsia" w:ascii="宋体" w:hAnsi="宋体"/>
          <w:sz w:val="30"/>
          <w:szCs w:val="30"/>
        </w:rPr>
        <w:fldChar w:fldCharType="end"/>
      </w:r>
    </w:p>
    <w:p/>
    <w:p>
      <w:pPr>
        <w:pStyle w:val="12"/>
        <w:rPr>
          <w:rStyle w:val="19"/>
          <w:rFonts w:ascii="宋体" w:hAnsi="宋体"/>
          <w:sz w:val="30"/>
          <w:szCs w:val="30"/>
        </w:rPr>
      </w:pPr>
      <w:r>
        <w:fldChar w:fldCharType="begin"/>
      </w:r>
      <w:r>
        <w:instrText xml:space="preserve"> HYPERLINK \l "_Toc325633808" </w:instrText>
      </w:r>
      <w:r>
        <w:fldChar w:fldCharType="separate"/>
      </w:r>
      <w:r>
        <w:rPr>
          <w:rStyle w:val="19"/>
          <w:rFonts w:hint="eastAsia" w:ascii="宋体" w:hAnsi="宋体"/>
          <w:sz w:val="30"/>
          <w:szCs w:val="30"/>
        </w:rPr>
        <w:t>第四部分</w:t>
      </w:r>
      <w:r>
        <w:rPr>
          <w:rStyle w:val="19"/>
          <w:rFonts w:ascii="宋体" w:hAnsi="宋体"/>
          <w:sz w:val="30"/>
          <w:szCs w:val="30"/>
        </w:rPr>
        <w:t xml:space="preserve"> </w:t>
      </w:r>
      <w:r>
        <w:rPr>
          <w:rStyle w:val="19"/>
          <w:rFonts w:hint="eastAsia" w:ascii="宋体" w:hAnsi="宋体"/>
          <w:sz w:val="30"/>
          <w:szCs w:val="30"/>
        </w:rPr>
        <w:t>评标办法</w:t>
      </w:r>
      <w:r>
        <w:rPr>
          <w:rStyle w:val="19"/>
          <w:rFonts w:hint="eastAsia"/>
          <w:sz w:val="30"/>
          <w:szCs w:val="30"/>
        </w:rPr>
        <w:t>.................................................................................</w:t>
      </w:r>
      <w:r>
        <w:rPr>
          <w:rFonts w:hint="eastAsia" w:ascii="宋体" w:hAnsi="宋体"/>
          <w:sz w:val="30"/>
          <w:szCs w:val="30"/>
        </w:rPr>
        <w:t>14</w:t>
      </w:r>
      <w:r>
        <w:rPr>
          <w:rFonts w:hint="eastAsia" w:ascii="宋体" w:hAnsi="宋体"/>
          <w:sz w:val="30"/>
          <w:szCs w:val="30"/>
        </w:rPr>
        <w:fldChar w:fldCharType="end"/>
      </w:r>
    </w:p>
    <w:p/>
    <w:p>
      <w:pPr>
        <w:pStyle w:val="12"/>
        <w:rPr>
          <w:rStyle w:val="19"/>
          <w:rFonts w:ascii="宋体" w:hAnsi="宋体"/>
          <w:sz w:val="30"/>
          <w:szCs w:val="30"/>
        </w:rPr>
      </w:pPr>
      <w:r>
        <w:fldChar w:fldCharType="begin"/>
      </w:r>
      <w:r>
        <w:instrText xml:space="preserve"> HYPERLINK \l "_Toc325633809" </w:instrText>
      </w:r>
      <w:r>
        <w:fldChar w:fldCharType="separate"/>
      </w:r>
      <w:r>
        <w:rPr>
          <w:rStyle w:val="19"/>
          <w:rFonts w:hint="eastAsia" w:ascii="宋体" w:hAnsi="宋体"/>
          <w:sz w:val="30"/>
          <w:szCs w:val="30"/>
        </w:rPr>
        <w:t>第五部分</w:t>
      </w:r>
      <w:r>
        <w:rPr>
          <w:rStyle w:val="19"/>
          <w:rFonts w:ascii="宋体" w:hAnsi="宋体"/>
          <w:sz w:val="30"/>
          <w:szCs w:val="30"/>
        </w:rPr>
        <w:t xml:space="preserve"> </w:t>
      </w:r>
      <w:r>
        <w:rPr>
          <w:rStyle w:val="19"/>
          <w:rFonts w:hint="eastAsia" w:ascii="宋体" w:hAnsi="宋体"/>
          <w:sz w:val="30"/>
          <w:szCs w:val="30"/>
        </w:rPr>
        <w:t>投标文件格式</w:t>
      </w:r>
      <w:r>
        <w:rPr>
          <w:rStyle w:val="19"/>
          <w:rFonts w:hint="eastAsia"/>
          <w:sz w:val="30"/>
          <w:szCs w:val="30"/>
        </w:rPr>
        <w:t>..........................................................................</w:t>
      </w:r>
      <w:r>
        <w:rPr>
          <w:rFonts w:hint="eastAsia" w:ascii="宋体" w:hAnsi="宋体"/>
          <w:sz w:val="30"/>
          <w:szCs w:val="30"/>
        </w:rPr>
        <w:t>16</w:t>
      </w:r>
      <w:r>
        <w:rPr>
          <w:rFonts w:hint="eastAsia" w:ascii="宋体" w:hAnsi="宋体"/>
          <w:sz w:val="30"/>
          <w:szCs w:val="30"/>
        </w:rPr>
        <w:fldChar w:fldCharType="end"/>
      </w:r>
    </w:p>
    <w:p/>
    <w:p>
      <w:pPr>
        <w:pStyle w:val="12"/>
        <w:rPr>
          <w:rFonts w:ascii="宋体" w:hAnsi="宋体"/>
          <w:kern w:val="2"/>
          <w:sz w:val="30"/>
          <w:szCs w:val="30"/>
        </w:rPr>
      </w:pPr>
      <w:r>
        <w:fldChar w:fldCharType="begin"/>
      </w:r>
      <w:r>
        <w:instrText xml:space="preserve"> HYPERLINK \l "_Toc325633810" </w:instrText>
      </w:r>
      <w:r>
        <w:fldChar w:fldCharType="separate"/>
      </w:r>
      <w:r>
        <w:rPr>
          <w:rStyle w:val="19"/>
          <w:rFonts w:hint="eastAsia" w:ascii="宋体" w:hAnsi="宋体"/>
          <w:sz w:val="30"/>
          <w:szCs w:val="30"/>
        </w:rPr>
        <w:t>第六部分</w:t>
      </w:r>
      <w:r>
        <w:rPr>
          <w:rStyle w:val="19"/>
          <w:rFonts w:ascii="宋体" w:hAnsi="宋体"/>
          <w:sz w:val="30"/>
          <w:szCs w:val="30"/>
        </w:rPr>
        <w:t xml:space="preserve"> </w:t>
      </w:r>
      <w:r>
        <w:rPr>
          <w:rStyle w:val="19"/>
          <w:rFonts w:hint="eastAsia" w:ascii="宋体" w:hAnsi="宋体"/>
          <w:sz w:val="30"/>
          <w:szCs w:val="30"/>
        </w:rPr>
        <w:t>合同格式</w:t>
      </w:r>
      <w:r>
        <w:rPr>
          <w:rStyle w:val="19"/>
          <w:rFonts w:hint="eastAsia"/>
          <w:sz w:val="30"/>
          <w:szCs w:val="30"/>
        </w:rPr>
        <w:t>.................................................................................</w:t>
      </w:r>
      <w:r>
        <w:rPr>
          <w:rStyle w:val="19"/>
          <w:rFonts w:hint="eastAsia" w:ascii="宋体" w:hAnsi="宋体" w:cs="宋体"/>
          <w:sz w:val="30"/>
          <w:szCs w:val="30"/>
        </w:rPr>
        <w:t>1</w:t>
      </w:r>
      <w:r>
        <w:rPr>
          <w:rStyle w:val="19"/>
          <w:rFonts w:hint="eastAsia" w:ascii="宋体" w:hAnsi="宋体" w:cs="宋体"/>
          <w:sz w:val="30"/>
          <w:szCs w:val="30"/>
        </w:rPr>
        <w:fldChar w:fldCharType="end"/>
      </w:r>
      <w:r>
        <w:rPr>
          <w:rFonts w:hint="eastAsia" w:ascii="宋体" w:hAnsi="宋体"/>
          <w:sz w:val="30"/>
          <w:szCs w:val="30"/>
        </w:rPr>
        <w:t>6</w:t>
      </w:r>
    </w:p>
    <w:p>
      <w:pPr>
        <w:rPr>
          <w:b/>
          <w:bCs/>
          <w:lang w:val="zh-CN"/>
        </w:rPr>
      </w:pPr>
      <w:r>
        <w:rPr>
          <w:rFonts w:ascii="宋体" w:hAnsi="宋体"/>
          <w:b/>
          <w:bCs/>
          <w:sz w:val="30"/>
          <w:szCs w:val="30"/>
          <w:lang w:val="zh-CN"/>
        </w:rP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rFonts w:ascii="宋体" w:hAnsi="宋体"/>
        </w:rPr>
      </w:pPr>
    </w:p>
    <w:p>
      <w:pPr>
        <w:pStyle w:val="45"/>
        <w:jc w:val="center"/>
        <w:rPr>
          <w:sz w:val="36"/>
          <w:szCs w:val="36"/>
        </w:rPr>
      </w:pPr>
      <w:bookmarkStart w:id="0" w:name="_Toc325633805"/>
    </w:p>
    <w:p>
      <w:pPr>
        <w:pStyle w:val="45"/>
        <w:jc w:val="center"/>
        <w:rPr>
          <w:sz w:val="36"/>
          <w:szCs w:val="36"/>
        </w:rPr>
      </w:pPr>
    </w:p>
    <w:p>
      <w:pPr>
        <w:pStyle w:val="45"/>
        <w:jc w:val="center"/>
        <w:rPr>
          <w:sz w:val="36"/>
          <w:szCs w:val="36"/>
        </w:rPr>
      </w:pPr>
      <w:r>
        <w:rPr>
          <w:rFonts w:hint="eastAsia"/>
          <w:sz w:val="36"/>
          <w:szCs w:val="36"/>
        </w:rPr>
        <w:t>第一部分  投标邀请</w:t>
      </w:r>
      <w:bookmarkEnd w:id="0"/>
      <w:r>
        <w:rPr>
          <w:rFonts w:hint="eastAsia"/>
          <w:sz w:val="36"/>
          <w:szCs w:val="36"/>
        </w:rPr>
        <w:t>书</w:t>
      </w:r>
    </w:p>
    <w:p>
      <w:pPr>
        <w:pStyle w:val="45"/>
        <w:jc w:val="center"/>
        <w:rPr>
          <w:sz w:val="36"/>
          <w:szCs w:val="36"/>
        </w:rPr>
      </w:pPr>
    </w:p>
    <w:p>
      <w:pPr>
        <w:spacing w:line="500" w:lineRule="exact"/>
        <w:ind w:firstLine="520"/>
        <w:rPr>
          <w:rFonts w:ascii="宋体" w:hAnsi="宋体"/>
          <w:spacing w:val="10"/>
          <w:sz w:val="24"/>
        </w:rPr>
      </w:pPr>
      <w:r>
        <w:rPr>
          <w:rFonts w:hint="eastAsia" w:ascii="宋体" w:hAnsi="宋体"/>
          <w:sz w:val="24"/>
        </w:rPr>
        <w:t>上海交通大学钱学森图书馆</w:t>
      </w:r>
      <w:r>
        <w:rPr>
          <w:rFonts w:hint="eastAsia" w:ascii="宋体" w:hAnsi="宋体"/>
          <w:spacing w:val="10"/>
          <w:sz w:val="24"/>
        </w:rPr>
        <w:t>在此邀请合格的投标人就下述标的提交密封投标。</w:t>
      </w:r>
    </w:p>
    <w:p>
      <w:pPr>
        <w:numPr>
          <w:ilvl w:val="0"/>
          <w:numId w:val="2"/>
        </w:numPr>
        <w:spacing w:line="500" w:lineRule="exact"/>
        <w:rPr>
          <w:rFonts w:ascii="宋体" w:hAnsi="宋体"/>
          <w:spacing w:val="10"/>
          <w:sz w:val="24"/>
        </w:rPr>
      </w:pPr>
      <w:r>
        <w:rPr>
          <w:rFonts w:hint="eastAsia" w:ascii="宋体" w:hAnsi="宋体"/>
          <w:spacing w:val="10"/>
          <w:sz w:val="24"/>
        </w:rPr>
        <w:t>邀标文件编号:</w:t>
      </w:r>
      <w:r>
        <w:rPr>
          <w:rFonts w:hint="eastAsia" w:ascii="宋体" w:hAnsi="宋体" w:cs="宋体"/>
          <w:bCs/>
          <w:kern w:val="0"/>
          <w:sz w:val="24"/>
        </w:rPr>
        <w:t xml:space="preserve"> </w:t>
      </w:r>
    </w:p>
    <w:p>
      <w:pPr>
        <w:numPr>
          <w:ilvl w:val="0"/>
          <w:numId w:val="2"/>
        </w:numPr>
        <w:spacing w:line="500" w:lineRule="exact"/>
        <w:rPr>
          <w:rFonts w:ascii="宋体" w:hAnsi="宋体"/>
          <w:spacing w:val="10"/>
          <w:sz w:val="24"/>
        </w:rPr>
      </w:pPr>
      <w:r>
        <w:rPr>
          <w:rFonts w:hint="eastAsia" w:ascii="宋体" w:hAnsi="宋体"/>
          <w:spacing w:val="10"/>
          <w:sz w:val="24"/>
        </w:rPr>
        <w:t>简要内容：</w:t>
      </w:r>
    </w:p>
    <w:tbl>
      <w:tblPr>
        <w:tblStyle w:val="22"/>
        <w:tblW w:w="856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96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00" w:lineRule="exact"/>
              <w:jc w:val="center"/>
              <w:rPr>
                <w:rFonts w:ascii="宋体" w:hAnsi="宋体"/>
                <w:sz w:val="24"/>
              </w:rPr>
            </w:pPr>
            <w:r>
              <w:rPr>
                <w:rFonts w:hint="eastAsia" w:ascii="宋体" w:hAnsi="宋体"/>
                <w:sz w:val="24"/>
              </w:rPr>
              <w:t>项目</w:t>
            </w:r>
          </w:p>
        </w:tc>
        <w:tc>
          <w:tcPr>
            <w:tcW w:w="3960" w:type="dxa"/>
          </w:tcPr>
          <w:p>
            <w:pPr>
              <w:spacing w:line="500" w:lineRule="exact"/>
              <w:jc w:val="left"/>
              <w:rPr>
                <w:rFonts w:ascii="宋体" w:hAnsi="宋体"/>
                <w:sz w:val="24"/>
              </w:rPr>
            </w:pPr>
            <w:r>
              <w:rPr>
                <w:rFonts w:hint="eastAsia" w:ascii="宋体" w:hAnsi="宋体"/>
                <w:sz w:val="24"/>
              </w:rPr>
              <w:t>项目描述</w:t>
            </w:r>
          </w:p>
        </w:tc>
        <w:tc>
          <w:tcPr>
            <w:tcW w:w="3780" w:type="dxa"/>
          </w:tcPr>
          <w:p>
            <w:pPr>
              <w:spacing w:line="500" w:lineRule="exact"/>
              <w:jc w:val="left"/>
              <w:rPr>
                <w:rFonts w:ascii="宋体" w:hAnsi="宋体"/>
                <w:sz w:val="24"/>
              </w:rPr>
            </w:pPr>
            <w:r>
              <w:rPr>
                <w:rFonts w:hint="eastAsia" w:ascii="宋体" w:hAnsi="宋体"/>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00" w:lineRule="exact"/>
              <w:jc w:val="center"/>
              <w:rPr>
                <w:rFonts w:ascii="宋体" w:hAnsi="宋体"/>
                <w:sz w:val="24"/>
              </w:rPr>
            </w:pPr>
            <w:r>
              <w:rPr>
                <w:rFonts w:hint="eastAsia" w:ascii="宋体" w:hAnsi="宋体"/>
                <w:sz w:val="24"/>
              </w:rPr>
              <w:t>1</w:t>
            </w:r>
          </w:p>
        </w:tc>
        <w:tc>
          <w:tcPr>
            <w:tcW w:w="3960" w:type="dxa"/>
          </w:tcPr>
          <w:p>
            <w:pPr>
              <w:spacing w:line="500" w:lineRule="exact"/>
              <w:jc w:val="left"/>
              <w:rPr>
                <w:rFonts w:ascii="宋体" w:hAnsi="宋体"/>
                <w:sz w:val="24"/>
              </w:rPr>
            </w:pPr>
            <w:r>
              <w:rPr>
                <w:rFonts w:hint="eastAsia" w:ascii="宋体" w:hAnsi="宋体"/>
                <w:sz w:val="24"/>
              </w:rPr>
              <w:t>展览“</w:t>
            </w:r>
            <w:r>
              <w:rPr>
                <w:rFonts w:hint="eastAsia" w:ascii="宋体" w:hAnsi="宋体"/>
                <w:sz w:val="24"/>
                <w:lang w:eastAsia="zh-Hans"/>
              </w:rPr>
              <w:t>郭永怀生平事迹展</w:t>
            </w:r>
            <w:r>
              <w:rPr>
                <w:rFonts w:hint="eastAsia" w:ascii="宋体" w:hAnsi="宋体"/>
                <w:sz w:val="24"/>
              </w:rPr>
              <w:t>”设计、制作、施工一体化</w:t>
            </w:r>
          </w:p>
        </w:tc>
        <w:tc>
          <w:tcPr>
            <w:tcW w:w="3780" w:type="dxa"/>
          </w:tcPr>
          <w:p>
            <w:pPr>
              <w:spacing w:line="500" w:lineRule="exact"/>
              <w:jc w:val="left"/>
              <w:rPr>
                <w:rFonts w:ascii="宋体" w:hAnsi="宋体"/>
                <w:sz w:val="24"/>
              </w:rPr>
            </w:pPr>
            <w:r>
              <w:rPr>
                <w:rFonts w:hint="eastAsia" w:ascii="宋体" w:hAnsi="宋体"/>
                <w:sz w:val="24"/>
              </w:rPr>
              <w:t>具体请详见招标文件第三部分</w:t>
            </w:r>
          </w:p>
        </w:tc>
      </w:tr>
    </w:tbl>
    <w:p>
      <w:pPr>
        <w:numPr>
          <w:ilvl w:val="0"/>
          <w:numId w:val="2"/>
        </w:numPr>
        <w:spacing w:line="500" w:lineRule="exact"/>
        <w:rPr>
          <w:rFonts w:ascii="宋体" w:hAnsi="宋体"/>
          <w:spacing w:val="10"/>
          <w:sz w:val="24"/>
        </w:rPr>
      </w:pPr>
      <w:r>
        <w:rPr>
          <w:rFonts w:hint="eastAsia" w:ascii="宋体" w:hAnsi="宋体"/>
          <w:spacing w:val="10"/>
          <w:sz w:val="24"/>
        </w:rPr>
        <w:t xml:space="preserve">招标文件的领取 </w:t>
      </w:r>
    </w:p>
    <w:p>
      <w:pPr>
        <w:spacing w:line="500" w:lineRule="exact"/>
        <w:ind w:firstLine="520" w:firstLineChars="200"/>
        <w:rPr>
          <w:rFonts w:ascii="宋体" w:hAnsi="宋体"/>
          <w:spacing w:val="10"/>
          <w:sz w:val="24"/>
        </w:rPr>
      </w:pPr>
      <w:r>
        <w:rPr>
          <w:rFonts w:hint="eastAsia" w:ascii="宋体" w:hAnsi="宋体"/>
          <w:spacing w:val="10"/>
          <w:sz w:val="24"/>
        </w:rPr>
        <w:t>邀标文件领取地址：上海华山路1800号，上海交通大学钱学森图书馆301</w:t>
      </w:r>
      <w:r>
        <w:rPr>
          <w:rFonts w:hint="eastAsia" w:ascii="宋体" w:hAnsi="宋体"/>
          <w:bCs/>
          <w:spacing w:val="10"/>
          <w:sz w:val="24"/>
        </w:rPr>
        <w:t>室</w:t>
      </w:r>
    </w:p>
    <w:p>
      <w:pPr>
        <w:spacing w:line="500" w:lineRule="exact"/>
        <w:rPr>
          <w:rFonts w:ascii="宋体" w:hAnsi="宋体"/>
          <w:bCs/>
          <w:spacing w:val="10"/>
          <w:sz w:val="24"/>
        </w:rPr>
      </w:pPr>
      <w:r>
        <w:rPr>
          <w:rFonts w:hint="eastAsia" w:ascii="宋体" w:hAnsi="宋体"/>
          <w:spacing w:val="10"/>
          <w:sz w:val="24"/>
        </w:rPr>
        <w:t>四、</w:t>
      </w:r>
      <w:r>
        <w:rPr>
          <w:rFonts w:hint="eastAsia" w:ascii="宋体" w:hAnsi="宋体"/>
          <w:bCs/>
          <w:spacing w:val="10"/>
          <w:sz w:val="24"/>
        </w:rPr>
        <w:t>内容与形式设计答疑与勘察：</w:t>
      </w:r>
      <w:r>
        <w:rPr>
          <w:rFonts w:hint="eastAsia" w:ascii="宋体" w:hAnsi="宋体"/>
          <w:b/>
          <w:spacing w:val="10"/>
          <w:sz w:val="24"/>
        </w:rPr>
        <w:t>20</w:t>
      </w:r>
      <w:r>
        <w:rPr>
          <w:rFonts w:ascii="宋体" w:hAnsi="宋体"/>
          <w:b/>
          <w:spacing w:val="10"/>
          <w:sz w:val="24"/>
        </w:rPr>
        <w:t>21</w:t>
      </w:r>
      <w:r>
        <w:rPr>
          <w:rFonts w:hint="eastAsia" w:ascii="宋体" w:hAnsi="宋体"/>
          <w:b/>
          <w:spacing w:val="10"/>
          <w:sz w:val="24"/>
        </w:rPr>
        <w:t>年</w:t>
      </w:r>
      <w:r>
        <w:rPr>
          <w:rFonts w:ascii="宋体" w:hAnsi="宋体"/>
          <w:b/>
          <w:spacing w:val="10"/>
          <w:sz w:val="24"/>
        </w:rPr>
        <w:t>6</w:t>
      </w:r>
      <w:r>
        <w:rPr>
          <w:rFonts w:hint="eastAsia" w:ascii="宋体" w:hAnsi="宋体"/>
          <w:b/>
          <w:spacing w:val="10"/>
          <w:sz w:val="24"/>
        </w:rPr>
        <w:t>月</w:t>
      </w:r>
      <w:r>
        <w:rPr>
          <w:rFonts w:ascii="宋体" w:hAnsi="宋体"/>
          <w:b/>
          <w:spacing w:val="10"/>
          <w:sz w:val="24"/>
        </w:rPr>
        <w:t>3</w:t>
      </w:r>
      <w:r>
        <w:rPr>
          <w:rFonts w:hint="eastAsia" w:ascii="宋体" w:hAnsi="宋体"/>
          <w:b/>
          <w:spacing w:val="10"/>
          <w:sz w:val="24"/>
        </w:rPr>
        <w:t>日上午9：30</w:t>
      </w:r>
    </w:p>
    <w:p>
      <w:pPr>
        <w:spacing w:line="500" w:lineRule="exact"/>
        <w:ind w:firstLine="560"/>
        <w:rPr>
          <w:rFonts w:ascii="宋体" w:hAnsi="宋体"/>
          <w:bCs/>
          <w:spacing w:val="10"/>
          <w:sz w:val="24"/>
        </w:rPr>
      </w:pPr>
      <w:r>
        <w:rPr>
          <w:rFonts w:hint="eastAsia" w:ascii="宋体" w:hAnsi="宋体"/>
          <w:bCs/>
          <w:spacing w:val="10"/>
          <w:sz w:val="24"/>
        </w:rPr>
        <w:t>答疑会地址：</w:t>
      </w:r>
      <w:r>
        <w:rPr>
          <w:rFonts w:hint="eastAsia" w:ascii="宋体" w:hAnsi="宋体"/>
          <w:spacing w:val="10"/>
          <w:sz w:val="24"/>
        </w:rPr>
        <w:t>上海华山路1800号，上海交通大学钱学森图书馆303</w:t>
      </w:r>
      <w:r>
        <w:rPr>
          <w:rFonts w:hint="eastAsia" w:ascii="宋体" w:hAnsi="宋体"/>
          <w:bCs/>
          <w:spacing w:val="10"/>
          <w:sz w:val="24"/>
        </w:rPr>
        <w:t>室</w:t>
      </w:r>
    </w:p>
    <w:p>
      <w:pPr>
        <w:spacing w:line="500" w:lineRule="exact"/>
        <w:rPr>
          <w:rFonts w:ascii="宋体" w:hAnsi="宋体"/>
          <w:spacing w:val="10"/>
          <w:sz w:val="24"/>
        </w:rPr>
      </w:pPr>
      <w:r>
        <w:rPr>
          <w:rFonts w:hint="eastAsia" w:ascii="宋体" w:hAnsi="宋体"/>
          <w:spacing w:val="10"/>
          <w:sz w:val="24"/>
        </w:rPr>
        <w:t xml:space="preserve">五、投标截止时间： </w:t>
      </w:r>
      <w:r>
        <w:rPr>
          <w:rFonts w:hint="eastAsia" w:ascii="宋体" w:hAnsi="宋体"/>
          <w:b/>
          <w:bCs/>
          <w:spacing w:val="10"/>
          <w:sz w:val="24"/>
        </w:rPr>
        <w:t>20</w:t>
      </w:r>
      <w:r>
        <w:rPr>
          <w:rFonts w:ascii="宋体" w:hAnsi="宋体"/>
          <w:b/>
          <w:bCs/>
          <w:spacing w:val="10"/>
          <w:sz w:val="24"/>
        </w:rPr>
        <w:t>21</w:t>
      </w:r>
      <w:r>
        <w:rPr>
          <w:rFonts w:hint="eastAsia" w:ascii="宋体" w:hAnsi="宋体"/>
          <w:b/>
          <w:bCs/>
          <w:spacing w:val="10"/>
          <w:sz w:val="24"/>
        </w:rPr>
        <w:t>年</w:t>
      </w:r>
      <w:r>
        <w:rPr>
          <w:rFonts w:ascii="宋体" w:hAnsi="宋体"/>
          <w:b/>
          <w:bCs/>
          <w:spacing w:val="10"/>
          <w:sz w:val="24"/>
        </w:rPr>
        <w:t>6</w:t>
      </w:r>
      <w:r>
        <w:rPr>
          <w:rFonts w:hint="eastAsia" w:ascii="宋体" w:hAnsi="宋体"/>
          <w:b/>
          <w:bCs/>
          <w:spacing w:val="10"/>
          <w:sz w:val="24"/>
        </w:rPr>
        <w:t>月</w:t>
      </w:r>
      <w:r>
        <w:rPr>
          <w:rFonts w:ascii="宋体" w:hAnsi="宋体"/>
          <w:b/>
          <w:bCs/>
          <w:spacing w:val="10"/>
          <w:sz w:val="24"/>
        </w:rPr>
        <w:t>16</w:t>
      </w:r>
      <w:r>
        <w:rPr>
          <w:rFonts w:hint="eastAsia" w:ascii="宋体" w:hAnsi="宋体"/>
          <w:b/>
          <w:bCs/>
          <w:spacing w:val="10"/>
          <w:sz w:val="24"/>
        </w:rPr>
        <w:t>日17:00</w:t>
      </w:r>
    </w:p>
    <w:p>
      <w:pPr>
        <w:spacing w:line="500" w:lineRule="exact"/>
        <w:ind w:firstLine="520" w:firstLineChars="200"/>
        <w:rPr>
          <w:rFonts w:ascii="宋体" w:hAnsi="宋体"/>
          <w:bCs/>
          <w:spacing w:val="10"/>
          <w:sz w:val="24"/>
        </w:rPr>
      </w:pPr>
      <w:r>
        <w:rPr>
          <w:rFonts w:hint="eastAsia" w:ascii="宋体" w:hAnsi="宋体"/>
          <w:spacing w:val="10"/>
          <w:sz w:val="24"/>
        </w:rPr>
        <w:t>投标地址: 上海华山路1800号，上海交通大学钱学森图书馆301</w:t>
      </w:r>
      <w:r>
        <w:rPr>
          <w:rFonts w:hint="eastAsia" w:ascii="宋体" w:hAnsi="宋体"/>
          <w:bCs/>
          <w:spacing w:val="10"/>
          <w:sz w:val="24"/>
        </w:rPr>
        <w:t>室</w:t>
      </w:r>
    </w:p>
    <w:p>
      <w:pPr>
        <w:spacing w:line="500" w:lineRule="exact"/>
        <w:rPr>
          <w:rFonts w:ascii="宋体" w:hAnsi="宋体"/>
          <w:spacing w:val="10"/>
          <w:sz w:val="24"/>
        </w:rPr>
      </w:pPr>
      <w:r>
        <w:rPr>
          <w:rFonts w:hint="eastAsia" w:ascii="宋体" w:hAnsi="宋体"/>
          <w:spacing w:val="10"/>
          <w:sz w:val="24"/>
        </w:rPr>
        <w:t>六、评标、开标时间：</w:t>
      </w:r>
      <w:r>
        <w:rPr>
          <w:rFonts w:hint="eastAsia" w:ascii="宋体" w:hAnsi="宋体"/>
          <w:b/>
          <w:bCs/>
          <w:spacing w:val="10"/>
          <w:sz w:val="24"/>
        </w:rPr>
        <w:t>20</w:t>
      </w:r>
      <w:r>
        <w:rPr>
          <w:rFonts w:ascii="宋体" w:hAnsi="宋体"/>
          <w:b/>
          <w:bCs/>
          <w:spacing w:val="10"/>
          <w:sz w:val="24"/>
        </w:rPr>
        <w:t>21</w:t>
      </w:r>
      <w:r>
        <w:rPr>
          <w:rFonts w:hint="eastAsia" w:ascii="宋体" w:hAnsi="宋体"/>
          <w:b/>
          <w:bCs/>
          <w:spacing w:val="10"/>
          <w:sz w:val="24"/>
        </w:rPr>
        <w:t>年</w:t>
      </w:r>
      <w:r>
        <w:rPr>
          <w:rFonts w:ascii="宋体" w:hAnsi="宋体"/>
          <w:b/>
          <w:bCs/>
          <w:spacing w:val="10"/>
          <w:sz w:val="24"/>
        </w:rPr>
        <w:t>6</w:t>
      </w:r>
      <w:r>
        <w:rPr>
          <w:rFonts w:hint="eastAsia" w:ascii="宋体" w:hAnsi="宋体"/>
          <w:b/>
          <w:bCs/>
          <w:spacing w:val="10"/>
          <w:sz w:val="24"/>
        </w:rPr>
        <w:t>月</w:t>
      </w:r>
      <w:r>
        <w:rPr>
          <w:rFonts w:ascii="宋体" w:hAnsi="宋体"/>
          <w:b/>
          <w:bCs/>
          <w:spacing w:val="10"/>
          <w:sz w:val="24"/>
        </w:rPr>
        <w:t>17</w:t>
      </w:r>
      <w:r>
        <w:rPr>
          <w:rFonts w:hint="eastAsia" w:ascii="宋体" w:hAnsi="宋体"/>
          <w:b/>
          <w:bCs/>
          <w:spacing w:val="10"/>
          <w:sz w:val="24"/>
        </w:rPr>
        <w:t>日10:00</w:t>
      </w:r>
    </w:p>
    <w:p>
      <w:pPr>
        <w:spacing w:line="500" w:lineRule="exact"/>
        <w:ind w:firstLine="520" w:firstLineChars="200"/>
        <w:rPr>
          <w:rFonts w:ascii="宋体" w:hAnsi="宋体"/>
          <w:spacing w:val="10"/>
          <w:sz w:val="24"/>
        </w:rPr>
      </w:pPr>
      <w:r>
        <w:rPr>
          <w:rFonts w:hint="eastAsia" w:ascii="宋体" w:hAnsi="宋体"/>
          <w:spacing w:val="10"/>
          <w:sz w:val="24"/>
        </w:rPr>
        <w:t>开标地址：上海华山路1800号，上海交通大学钱学森图书馆303</w:t>
      </w:r>
      <w:r>
        <w:rPr>
          <w:rFonts w:hint="eastAsia" w:ascii="宋体" w:hAnsi="宋体"/>
          <w:bCs/>
          <w:spacing w:val="10"/>
          <w:sz w:val="24"/>
        </w:rPr>
        <w:t>室</w:t>
      </w:r>
    </w:p>
    <w:p>
      <w:pPr>
        <w:spacing w:line="500" w:lineRule="exact"/>
        <w:rPr>
          <w:rFonts w:ascii="宋体" w:hAnsi="宋体"/>
          <w:spacing w:val="10"/>
          <w:sz w:val="24"/>
        </w:rPr>
      </w:pPr>
      <w:bookmarkStart w:id="1" w:name="_Toc433605845"/>
      <w:bookmarkStart w:id="2" w:name="_Toc433605701"/>
      <w:bookmarkStart w:id="3" w:name="_Toc433612157"/>
      <w:bookmarkStart w:id="4" w:name="_Toc433605773"/>
      <w:r>
        <w:rPr>
          <w:rFonts w:hint="eastAsia"/>
        </w:rPr>
        <w:t xml:space="preserve">     </w:t>
      </w:r>
      <w:r>
        <w:rPr>
          <w:rFonts w:hint="eastAsia" w:ascii="宋体" w:hAnsi="宋体"/>
          <w:spacing w:val="10"/>
          <w:sz w:val="24"/>
        </w:rPr>
        <w:t>联 系 人：</w:t>
      </w:r>
      <w:r>
        <w:rPr>
          <w:rFonts w:hint="eastAsia" w:ascii="宋体" w:hAnsi="宋体"/>
          <w:spacing w:val="10"/>
          <w:sz w:val="24"/>
          <w:lang w:eastAsia="zh-Hans"/>
        </w:rPr>
        <w:t>吴</w:t>
      </w:r>
      <w:r>
        <w:rPr>
          <w:rFonts w:hint="eastAsia" w:ascii="宋体" w:hAnsi="宋体"/>
          <w:spacing w:val="10"/>
          <w:sz w:val="24"/>
          <w:lang w:val="en-US" w:eastAsia="zh-Hans"/>
        </w:rPr>
        <w:t>老师</w:t>
      </w:r>
    </w:p>
    <w:p>
      <w:pPr>
        <w:spacing w:line="500" w:lineRule="exact"/>
        <w:rPr>
          <w:rFonts w:ascii="宋体" w:hAnsi="宋体"/>
          <w:spacing w:val="10"/>
          <w:sz w:val="24"/>
        </w:rPr>
      </w:pPr>
      <w:r>
        <w:rPr>
          <w:rFonts w:hint="eastAsia" w:ascii="宋体" w:hAnsi="宋体"/>
          <w:spacing w:val="10"/>
          <w:sz w:val="24"/>
        </w:rPr>
        <w:t xml:space="preserve">   </w:t>
      </w:r>
      <w:r>
        <w:rPr>
          <w:rFonts w:hint="default" w:ascii="宋体" w:hAnsi="宋体"/>
          <w:spacing w:val="10"/>
          <w:sz w:val="24"/>
        </w:rPr>
        <w:t xml:space="preserve"> </w:t>
      </w:r>
      <w:r>
        <w:rPr>
          <w:rFonts w:hint="eastAsia" w:ascii="宋体" w:hAnsi="宋体"/>
          <w:spacing w:val="10"/>
          <w:sz w:val="24"/>
        </w:rPr>
        <w:t>联系电话： 021-6293</w:t>
      </w:r>
      <w:r>
        <w:rPr>
          <w:rFonts w:ascii="宋体" w:hAnsi="宋体"/>
          <w:spacing w:val="10"/>
          <w:sz w:val="24"/>
        </w:rPr>
        <w:t>3680</w:t>
      </w:r>
    </w:p>
    <w:p>
      <w:r>
        <w:rPr>
          <w:rFonts w:hint="eastAsia"/>
        </w:rPr>
        <w:t xml:space="preserve"> </w:t>
      </w:r>
    </w:p>
    <w:p/>
    <w:p>
      <w:pPr>
        <w:pStyle w:val="45"/>
        <w:jc w:val="center"/>
        <w:rPr>
          <w:sz w:val="36"/>
          <w:szCs w:val="36"/>
        </w:rPr>
      </w:pPr>
      <w:bookmarkStart w:id="5" w:name="_Toc325633806"/>
    </w:p>
    <w:p>
      <w:pPr>
        <w:pStyle w:val="45"/>
        <w:jc w:val="center"/>
        <w:rPr>
          <w:sz w:val="36"/>
          <w:szCs w:val="36"/>
        </w:rPr>
      </w:pPr>
      <w:r>
        <w:rPr>
          <w:rFonts w:hint="eastAsia"/>
          <w:sz w:val="36"/>
          <w:szCs w:val="36"/>
        </w:rPr>
        <w:br w:type="page"/>
      </w:r>
      <w:r>
        <w:rPr>
          <w:rFonts w:hint="eastAsia"/>
          <w:sz w:val="36"/>
          <w:szCs w:val="36"/>
        </w:rPr>
        <w:t>第二部分</w:t>
      </w:r>
      <w:r>
        <w:rPr>
          <w:rFonts w:hint="eastAsia"/>
          <w:sz w:val="36"/>
          <w:szCs w:val="36"/>
        </w:rPr>
        <w:tab/>
      </w:r>
      <w:r>
        <w:rPr>
          <w:rFonts w:hint="eastAsia"/>
          <w:sz w:val="36"/>
          <w:szCs w:val="36"/>
        </w:rPr>
        <w:t>投标方须知</w:t>
      </w:r>
      <w:bookmarkEnd w:id="1"/>
      <w:bookmarkEnd w:id="2"/>
      <w:bookmarkEnd w:id="3"/>
      <w:bookmarkEnd w:id="4"/>
      <w:bookmarkEnd w:id="5"/>
    </w:p>
    <w:p>
      <w:pPr>
        <w:pStyle w:val="45"/>
        <w:jc w:val="center"/>
        <w:rPr>
          <w:sz w:val="24"/>
        </w:rPr>
      </w:pPr>
    </w:p>
    <w:p>
      <w:pPr>
        <w:spacing w:line="500" w:lineRule="exact"/>
        <w:jc w:val="center"/>
        <w:rPr>
          <w:rFonts w:ascii="宋体" w:hAnsi="宋体"/>
          <w:b/>
          <w:sz w:val="36"/>
          <w:szCs w:val="36"/>
        </w:rPr>
      </w:pPr>
      <w:r>
        <w:rPr>
          <w:rFonts w:hint="eastAsia" w:ascii="宋体" w:hAnsi="宋体"/>
          <w:b/>
          <w:sz w:val="36"/>
          <w:szCs w:val="36"/>
        </w:rPr>
        <w:t>投标方须知前附表</w:t>
      </w:r>
    </w:p>
    <w:p>
      <w:pPr>
        <w:spacing w:line="500" w:lineRule="exact"/>
        <w:jc w:val="center"/>
        <w:rPr>
          <w:rFonts w:ascii="宋体" w:hAnsi="宋体"/>
          <w:sz w:val="24"/>
        </w:rPr>
      </w:pPr>
    </w:p>
    <w:tbl>
      <w:tblPr>
        <w:tblStyle w:val="22"/>
        <w:tblW w:w="10272" w:type="dxa"/>
        <w:tblInd w:w="1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9" w:hRule="atLeast"/>
        </w:trPr>
        <w:tc>
          <w:tcPr>
            <w:tcW w:w="1200" w:type="dxa"/>
          </w:tcPr>
          <w:p>
            <w:pPr>
              <w:spacing w:line="500" w:lineRule="exact"/>
              <w:jc w:val="center"/>
              <w:rPr>
                <w:rFonts w:ascii="宋体" w:hAnsi="宋体"/>
                <w:sz w:val="24"/>
              </w:rPr>
            </w:pPr>
            <w:r>
              <w:rPr>
                <w:rFonts w:hint="eastAsia" w:ascii="宋体" w:hAnsi="宋体"/>
                <w:sz w:val="24"/>
              </w:rPr>
              <w:t>序号</w:t>
            </w:r>
          </w:p>
        </w:tc>
        <w:tc>
          <w:tcPr>
            <w:tcW w:w="9072" w:type="dxa"/>
          </w:tcPr>
          <w:p>
            <w:pPr>
              <w:spacing w:line="500" w:lineRule="exact"/>
              <w:jc w:val="center"/>
              <w:rPr>
                <w:rFonts w:ascii="宋体" w:hAnsi="宋体"/>
                <w:sz w:val="24"/>
              </w:rPr>
            </w:pPr>
            <w:r>
              <w:rPr>
                <w:rFonts w:hint="eastAsia" w:ascii="宋体" w:hAnsi="宋体"/>
                <w:sz w:val="24"/>
              </w:rPr>
              <w:t>内            容</w:t>
            </w:r>
          </w:p>
        </w:tc>
      </w:tr>
      <w:tr>
        <w:trPr>
          <w:trHeight w:val="449" w:hRule="atLeast"/>
        </w:trPr>
        <w:tc>
          <w:tcPr>
            <w:tcW w:w="1200" w:type="dxa"/>
          </w:tcPr>
          <w:p>
            <w:pPr>
              <w:spacing w:line="500" w:lineRule="exact"/>
              <w:jc w:val="center"/>
              <w:rPr>
                <w:rFonts w:ascii="宋体" w:hAnsi="宋体"/>
                <w:sz w:val="24"/>
              </w:rPr>
            </w:pPr>
            <w:r>
              <w:rPr>
                <w:rFonts w:hint="eastAsia" w:ascii="宋体" w:hAnsi="宋体"/>
                <w:sz w:val="24"/>
              </w:rPr>
              <w:t>1</w:t>
            </w:r>
          </w:p>
        </w:tc>
        <w:tc>
          <w:tcPr>
            <w:tcW w:w="9072" w:type="dxa"/>
          </w:tcPr>
          <w:p>
            <w:pPr>
              <w:spacing w:line="500" w:lineRule="exact"/>
              <w:rPr>
                <w:rFonts w:ascii="宋体" w:hAnsi="宋体"/>
                <w:sz w:val="24"/>
              </w:rPr>
            </w:pPr>
            <w:r>
              <w:rPr>
                <w:rFonts w:hint="eastAsia" w:ascii="宋体" w:hAnsi="宋体"/>
                <w:sz w:val="24"/>
              </w:rPr>
              <w:t>投标文件编号：（以实际文件为准）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8" w:hRule="atLeast"/>
        </w:trPr>
        <w:tc>
          <w:tcPr>
            <w:tcW w:w="1200" w:type="dxa"/>
          </w:tcPr>
          <w:p>
            <w:pPr>
              <w:spacing w:line="500" w:lineRule="exact"/>
              <w:jc w:val="center"/>
              <w:rPr>
                <w:rFonts w:ascii="宋体" w:hAnsi="宋体"/>
                <w:sz w:val="24"/>
              </w:rPr>
            </w:pPr>
            <w:r>
              <w:rPr>
                <w:rFonts w:hint="eastAsia" w:ascii="宋体" w:hAnsi="宋体"/>
                <w:sz w:val="24"/>
              </w:rPr>
              <w:t>2</w:t>
            </w:r>
          </w:p>
        </w:tc>
        <w:tc>
          <w:tcPr>
            <w:tcW w:w="9072" w:type="dxa"/>
          </w:tcPr>
          <w:p>
            <w:pPr>
              <w:spacing w:line="500" w:lineRule="exact"/>
              <w:rPr>
                <w:rFonts w:ascii="宋体" w:hAnsi="宋体"/>
                <w:sz w:val="24"/>
              </w:rPr>
            </w:pPr>
            <w:r>
              <w:rPr>
                <w:rFonts w:hint="eastAsia" w:ascii="宋体" w:hAnsi="宋体"/>
                <w:sz w:val="24"/>
              </w:rPr>
              <w:t xml:space="preserve">邀标方: </w:t>
            </w:r>
            <w:r>
              <w:rPr>
                <w:rFonts w:ascii="宋体" w:hAnsi="宋体"/>
                <w:sz w:val="24"/>
              </w:rPr>
              <w:t>上海交通大学钱学森图书馆</w:t>
            </w:r>
          </w:p>
          <w:p>
            <w:pPr>
              <w:spacing w:line="500" w:lineRule="exact"/>
              <w:rPr>
                <w:rFonts w:ascii="宋体" w:hAnsi="宋体"/>
                <w:sz w:val="24"/>
              </w:rPr>
            </w:pPr>
            <w:r>
              <w:rPr>
                <w:rFonts w:hint="eastAsia" w:ascii="宋体" w:hAnsi="宋体"/>
                <w:sz w:val="24"/>
              </w:rPr>
              <w:t>地址：上海华山路1800号</w:t>
            </w:r>
          </w:p>
          <w:p>
            <w:pPr>
              <w:spacing w:line="500" w:lineRule="exact"/>
              <w:rPr>
                <w:rFonts w:hint="eastAsia" w:ascii="宋体" w:hAnsi="宋体"/>
                <w:sz w:val="24"/>
              </w:rPr>
            </w:pPr>
            <w:r>
              <w:rPr>
                <w:rFonts w:hint="eastAsia" w:ascii="宋体" w:hAnsi="宋体"/>
                <w:sz w:val="24"/>
              </w:rPr>
              <w:t xml:space="preserve">邮政编码：200030 </w:t>
            </w:r>
          </w:p>
          <w:p>
            <w:pPr>
              <w:spacing w:line="500" w:lineRule="exact"/>
              <w:rPr>
                <w:rFonts w:hint="eastAsia" w:ascii="宋体" w:hAnsi="宋体"/>
                <w:sz w:val="24"/>
              </w:rPr>
            </w:pPr>
            <w:r>
              <w:rPr>
                <w:rFonts w:hint="eastAsia" w:ascii="宋体" w:hAnsi="宋体"/>
                <w:spacing w:val="10"/>
                <w:sz w:val="24"/>
              </w:rPr>
              <w:t>联 系 人：</w:t>
            </w:r>
            <w:r>
              <w:rPr>
                <w:rFonts w:hint="eastAsia" w:ascii="宋体" w:hAnsi="宋体"/>
                <w:spacing w:val="10"/>
                <w:sz w:val="24"/>
                <w:lang w:eastAsia="zh-Hans"/>
              </w:rPr>
              <w:t>吴</w:t>
            </w:r>
            <w:r>
              <w:rPr>
                <w:rFonts w:hint="eastAsia" w:ascii="宋体" w:hAnsi="宋体"/>
                <w:spacing w:val="10"/>
                <w:sz w:val="24"/>
                <w:lang w:val="en-US" w:eastAsia="zh-Hans"/>
              </w:rPr>
              <w:t>老师</w:t>
            </w:r>
          </w:p>
          <w:p>
            <w:pPr>
              <w:spacing w:line="500" w:lineRule="exact"/>
              <w:rPr>
                <w:rFonts w:ascii="宋体" w:hAnsi="宋体"/>
                <w:spacing w:val="10"/>
                <w:sz w:val="24"/>
              </w:rPr>
            </w:pPr>
            <w:r>
              <w:rPr>
                <w:rFonts w:hint="eastAsia" w:ascii="宋体" w:hAnsi="宋体"/>
                <w:spacing w:val="10"/>
                <w:sz w:val="24"/>
              </w:rPr>
              <w:t>联系电话：021-6293</w:t>
            </w:r>
            <w:r>
              <w:rPr>
                <w:rFonts w:ascii="宋体" w:hAnsi="宋体"/>
                <w:spacing w:val="10"/>
                <w:sz w:val="24"/>
              </w:rPr>
              <w:t>3680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78" w:hRule="atLeast"/>
        </w:trPr>
        <w:tc>
          <w:tcPr>
            <w:tcW w:w="1200" w:type="dxa"/>
          </w:tcPr>
          <w:p>
            <w:pPr>
              <w:spacing w:line="500" w:lineRule="exact"/>
              <w:jc w:val="center"/>
              <w:rPr>
                <w:rFonts w:ascii="宋体" w:hAnsi="宋体"/>
                <w:sz w:val="24"/>
              </w:rPr>
            </w:pPr>
            <w:r>
              <w:rPr>
                <w:rFonts w:hint="eastAsia" w:ascii="宋体" w:hAnsi="宋体"/>
                <w:sz w:val="24"/>
              </w:rPr>
              <w:t>3</w:t>
            </w:r>
          </w:p>
        </w:tc>
        <w:tc>
          <w:tcPr>
            <w:tcW w:w="9072" w:type="dxa"/>
          </w:tcPr>
          <w:p>
            <w:pPr>
              <w:spacing w:line="500" w:lineRule="exact"/>
              <w:rPr>
                <w:rFonts w:ascii="宋体" w:hAnsi="宋体"/>
                <w:sz w:val="24"/>
              </w:rPr>
            </w:pPr>
            <w:r>
              <w:rPr>
                <w:rFonts w:hint="eastAsia" w:ascii="宋体" w:hAnsi="宋体"/>
                <w:sz w:val="24"/>
              </w:rPr>
              <w:t>投标文件的数量：商务标正本壹套副本肆套，设计标（样稿）壹套副本肆套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6" w:hRule="atLeast"/>
        </w:trPr>
        <w:tc>
          <w:tcPr>
            <w:tcW w:w="1200" w:type="dxa"/>
          </w:tcPr>
          <w:p>
            <w:pPr>
              <w:spacing w:line="500" w:lineRule="exact"/>
              <w:jc w:val="center"/>
              <w:rPr>
                <w:rFonts w:ascii="宋体" w:hAnsi="宋体"/>
                <w:sz w:val="24"/>
              </w:rPr>
            </w:pPr>
            <w:r>
              <w:rPr>
                <w:rFonts w:hint="eastAsia" w:ascii="宋体" w:hAnsi="宋体"/>
                <w:sz w:val="24"/>
              </w:rPr>
              <w:t>4</w:t>
            </w:r>
          </w:p>
        </w:tc>
        <w:tc>
          <w:tcPr>
            <w:tcW w:w="9072" w:type="dxa"/>
          </w:tcPr>
          <w:p>
            <w:pPr>
              <w:spacing w:line="500" w:lineRule="exact"/>
              <w:rPr>
                <w:rFonts w:ascii="宋体" w:hAnsi="宋体"/>
                <w:sz w:val="24"/>
              </w:rPr>
            </w:pPr>
            <w:r>
              <w:rPr>
                <w:rFonts w:hint="eastAsia" w:ascii="宋体" w:hAnsi="宋体"/>
                <w:sz w:val="24"/>
              </w:rPr>
              <w:t>投标文件交递至：</w:t>
            </w:r>
            <w:r>
              <w:rPr>
                <w:rFonts w:hint="eastAsia" w:ascii="宋体" w:hAnsi="宋体"/>
                <w:spacing w:val="10"/>
                <w:sz w:val="24"/>
              </w:rPr>
              <w:t>上海华山路1800号</w:t>
            </w:r>
            <w:r>
              <w:rPr>
                <w:rFonts w:ascii="宋体" w:hAnsi="宋体"/>
                <w:spacing w:val="10"/>
                <w:sz w:val="24"/>
              </w:rPr>
              <w:t>上海交通大学钱学森图书馆</w:t>
            </w:r>
            <w:r>
              <w:rPr>
                <w:rFonts w:hint="eastAsia" w:ascii="宋体" w:hAnsi="宋体"/>
                <w:spacing w:val="10"/>
                <w:sz w:val="24"/>
              </w:rPr>
              <w:t>301室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9" w:hRule="atLeast"/>
        </w:trPr>
        <w:tc>
          <w:tcPr>
            <w:tcW w:w="1200" w:type="dxa"/>
          </w:tcPr>
          <w:p>
            <w:pPr>
              <w:spacing w:line="500" w:lineRule="exact"/>
              <w:jc w:val="center"/>
              <w:rPr>
                <w:rFonts w:ascii="宋体" w:hAnsi="宋体"/>
                <w:sz w:val="24"/>
              </w:rPr>
            </w:pPr>
            <w:r>
              <w:rPr>
                <w:rFonts w:hint="eastAsia" w:ascii="宋体" w:hAnsi="宋体"/>
                <w:sz w:val="24"/>
              </w:rPr>
              <w:t>5</w:t>
            </w:r>
          </w:p>
        </w:tc>
        <w:tc>
          <w:tcPr>
            <w:tcW w:w="9072" w:type="dxa"/>
          </w:tcPr>
          <w:p>
            <w:pPr>
              <w:spacing w:line="500" w:lineRule="exact"/>
              <w:rPr>
                <w:rFonts w:ascii="宋体" w:hAnsi="宋体"/>
                <w:sz w:val="24"/>
              </w:rPr>
            </w:pPr>
            <w:r>
              <w:rPr>
                <w:rFonts w:hint="eastAsia" w:ascii="宋体" w:hAnsi="宋体"/>
                <w:sz w:val="24"/>
              </w:rPr>
              <w:t>投标有效期：</w:t>
            </w:r>
            <w:r>
              <w:rPr>
                <w:rFonts w:ascii="宋体" w:hAnsi="宋体"/>
                <w:sz w:val="24"/>
              </w:rPr>
              <w:t>20</w:t>
            </w:r>
            <w:r>
              <w:rPr>
                <w:rFonts w:hint="eastAsia" w:ascii="宋体" w:hAnsi="宋体"/>
                <w:sz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8" w:hRule="atLeast"/>
        </w:trPr>
        <w:tc>
          <w:tcPr>
            <w:tcW w:w="1200" w:type="dxa"/>
          </w:tcPr>
          <w:p>
            <w:pPr>
              <w:spacing w:line="500" w:lineRule="exact"/>
              <w:jc w:val="center"/>
              <w:rPr>
                <w:rFonts w:ascii="宋体" w:hAnsi="宋体"/>
                <w:sz w:val="24"/>
              </w:rPr>
            </w:pPr>
            <w:r>
              <w:rPr>
                <w:rFonts w:hint="eastAsia" w:ascii="宋体" w:hAnsi="宋体"/>
                <w:sz w:val="24"/>
              </w:rPr>
              <w:t>6</w:t>
            </w:r>
          </w:p>
          <w:p>
            <w:pPr>
              <w:spacing w:line="500" w:lineRule="exact"/>
              <w:jc w:val="center"/>
              <w:rPr>
                <w:rFonts w:ascii="宋体" w:hAnsi="宋体"/>
                <w:sz w:val="24"/>
              </w:rPr>
            </w:pPr>
          </w:p>
        </w:tc>
        <w:tc>
          <w:tcPr>
            <w:tcW w:w="9072" w:type="dxa"/>
          </w:tcPr>
          <w:p>
            <w:pPr>
              <w:spacing w:line="500" w:lineRule="exact"/>
              <w:rPr>
                <w:rFonts w:ascii="宋体" w:hAnsi="宋体"/>
                <w:spacing w:val="10"/>
                <w:sz w:val="24"/>
              </w:rPr>
            </w:pPr>
            <w:r>
              <w:rPr>
                <w:rFonts w:hint="eastAsia" w:ascii="宋体" w:hAnsi="宋体"/>
                <w:sz w:val="24"/>
              </w:rPr>
              <w:t>开标日期：</w:t>
            </w:r>
            <w:r>
              <w:rPr>
                <w:rFonts w:hint="eastAsia" w:ascii="宋体" w:hAnsi="宋体"/>
                <w:spacing w:val="10"/>
                <w:sz w:val="24"/>
              </w:rPr>
              <w:t>20</w:t>
            </w:r>
            <w:r>
              <w:rPr>
                <w:rFonts w:ascii="宋体" w:hAnsi="宋体"/>
                <w:spacing w:val="10"/>
                <w:sz w:val="24"/>
              </w:rPr>
              <w:t>21</w:t>
            </w:r>
            <w:r>
              <w:rPr>
                <w:rFonts w:hint="eastAsia" w:ascii="宋体" w:hAnsi="宋体"/>
                <w:spacing w:val="10"/>
                <w:sz w:val="24"/>
              </w:rPr>
              <w:t>年</w:t>
            </w:r>
            <w:r>
              <w:rPr>
                <w:rFonts w:ascii="宋体" w:hAnsi="宋体"/>
                <w:spacing w:val="10"/>
                <w:sz w:val="24"/>
              </w:rPr>
              <w:t>6</w:t>
            </w:r>
            <w:r>
              <w:rPr>
                <w:rFonts w:hint="eastAsia" w:ascii="宋体" w:hAnsi="宋体"/>
                <w:spacing w:val="10"/>
                <w:sz w:val="24"/>
              </w:rPr>
              <w:t>月</w:t>
            </w:r>
            <w:r>
              <w:rPr>
                <w:rFonts w:ascii="宋体" w:hAnsi="宋体"/>
                <w:spacing w:val="10"/>
                <w:sz w:val="24"/>
              </w:rPr>
              <w:t>17</w:t>
            </w:r>
            <w:r>
              <w:rPr>
                <w:rFonts w:hint="eastAsia" w:ascii="宋体" w:hAnsi="宋体"/>
                <w:spacing w:val="10"/>
                <w:sz w:val="24"/>
              </w:rPr>
              <w:t>日</w:t>
            </w:r>
          </w:p>
          <w:p>
            <w:pPr>
              <w:spacing w:line="500" w:lineRule="exact"/>
              <w:rPr>
                <w:rFonts w:ascii="宋体" w:hAnsi="宋体"/>
                <w:sz w:val="24"/>
              </w:rPr>
            </w:pPr>
            <w:r>
              <w:rPr>
                <w:rFonts w:hint="eastAsia" w:ascii="宋体" w:hAnsi="宋体"/>
                <w:sz w:val="24"/>
              </w:rPr>
              <w:t>开标地点：</w:t>
            </w:r>
            <w:r>
              <w:rPr>
                <w:rFonts w:hint="eastAsia" w:ascii="宋体" w:hAnsi="宋体"/>
                <w:spacing w:val="10"/>
                <w:sz w:val="24"/>
              </w:rPr>
              <w:t>上海华山路1800号</w:t>
            </w:r>
            <w:r>
              <w:rPr>
                <w:rFonts w:ascii="宋体" w:hAnsi="宋体"/>
                <w:spacing w:val="10"/>
                <w:sz w:val="24"/>
              </w:rPr>
              <w:t>上海交通大学钱学森图书馆</w:t>
            </w:r>
            <w:r>
              <w:rPr>
                <w:rFonts w:hint="eastAsia" w:ascii="宋体" w:hAnsi="宋体"/>
                <w:spacing w:val="10"/>
                <w:sz w:val="24"/>
              </w:rPr>
              <w:t>303室</w:t>
            </w:r>
          </w:p>
        </w:tc>
      </w:tr>
    </w:tbl>
    <w:p>
      <w:pPr>
        <w:spacing w:line="500" w:lineRule="exact"/>
        <w:rPr>
          <w:rFonts w:ascii="宋体" w:hAnsi="宋体"/>
          <w:spacing w:val="10"/>
          <w:sz w:val="24"/>
        </w:rPr>
      </w:pPr>
    </w:p>
    <w:p>
      <w:pPr>
        <w:spacing w:line="500" w:lineRule="exact"/>
        <w:rPr>
          <w:rFonts w:ascii="宋体" w:hAnsi="宋体"/>
          <w:b/>
          <w:spacing w:val="10"/>
          <w:sz w:val="24"/>
        </w:rPr>
      </w:pPr>
      <w:r>
        <w:rPr>
          <w:rFonts w:hint="eastAsia" w:ascii="宋体" w:hAnsi="宋体"/>
          <w:b/>
          <w:spacing w:val="10"/>
          <w:sz w:val="24"/>
        </w:rPr>
        <w:t xml:space="preserve">    一、资质要求 </w:t>
      </w:r>
    </w:p>
    <w:p>
      <w:pPr>
        <w:spacing w:line="500" w:lineRule="exact"/>
        <w:ind w:firstLine="520" w:firstLineChars="200"/>
        <w:rPr>
          <w:rFonts w:ascii="宋体" w:hAnsi="宋体"/>
          <w:spacing w:val="10"/>
          <w:sz w:val="24"/>
        </w:rPr>
      </w:pPr>
      <w:r>
        <w:rPr>
          <w:rFonts w:hint="eastAsia" w:ascii="宋体" w:hAnsi="宋体"/>
          <w:spacing w:val="10"/>
          <w:sz w:val="24"/>
        </w:rPr>
        <w:t>凡具有法人资格、有相应服务能力的国内企业事业单位，在国内注册的外国独资或中外合资、合作企业，承认和履行招标文件中的各项规定，尚需符合以下条件，且中标后不得转包、委托他人。</w:t>
      </w:r>
    </w:p>
    <w:p>
      <w:pPr>
        <w:spacing w:line="500" w:lineRule="exact"/>
        <w:ind w:firstLine="520" w:firstLineChars="200"/>
        <w:rPr>
          <w:rFonts w:ascii="宋体" w:hAnsi="宋体"/>
          <w:spacing w:val="10"/>
          <w:sz w:val="24"/>
        </w:rPr>
      </w:pPr>
      <w:r>
        <w:rPr>
          <w:rFonts w:hint="eastAsia" w:ascii="宋体" w:hAnsi="宋体"/>
          <w:spacing w:val="10"/>
          <w:sz w:val="24"/>
        </w:rPr>
        <w:t>1. 投标单位有设计、施工、布展方面的项目经验。</w:t>
      </w:r>
    </w:p>
    <w:p>
      <w:pPr>
        <w:spacing w:line="500" w:lineRule="exact"/>
        <w:ind w:firstLine="520" w:firstLineChars="200"/>
        <w:rPr>
          <w:rFonts w:ascii="宋体" w:hAnsi="宋体"/>
          <w:spacing w:val="10"/>
          <w:sz w:val="24"/>
        </w:rPr>
      </w:pPr>
      <w:r>
        <w:rPr>
          <w:rFonts w:hint="eastAsia" w:ascii="宋体" w:hAnsi="宋体"/>
          <w:spacing w:val="10"/>
          <w:sz w:val="24"/>
        </w:rPr>
        <w:t>2. 投标人须拥有完善的管理服务体系，能够提供及时可靠的服务，并具有监督服务电话。</w:t>
      </w:r>
    </w:p>
    <w:p>
      <w:pPr>
        <w:spacing w:line="500" w:lineRule="exact"/>
        <w:ind w:firstLine="520" w:firstLineChars="200"/>
        <w:rPr>
          <w:rFonts w:ascii="宋体" w:hAnsi="宋体"/>
          <w:spacing w:val="10"/>
          <w:sz w:val="24"/>
        </w:rPr>
      </w:pPr>
      <w:r>
        <w:rPr>
          <w:rFonts w:hint="eastAsia" w:ascii="宋体" w:hAnsi="宋体"/>
          <w:spacing w:val="10"/>
          <w:sz w:val="24"/>
        </w:rPr>
        <w:t>3. 投标人必须遵守《中华人民共和国招标投标法》及其它相关的国家法律、行政法规的规定，具有良好的信誉和诚实的商业道德。</w:t>
      </w:r>
    </w:p>
    <w:p>
      <w:pPr>
        <w:spacing w:line="500" w:lineRule="exact"/>
        <w:ind w:firstLine="520" w:firstLineChars="200"/>
        <w:rPr>
          <w:rFonts w:ascii="宋体" w:hAnsi="宋体"/>
          <w:b/>
          <w:spacing w:val="10"/>
          <w:sz w:val="24"/>
        </w:rPr>
      </w:pPr>
      <w:r>
        <w:rPr>
          <w:rFonts w:hint="eastAsia" w:ascii="宋体" w:hAnsi="宋体"/>
          <w:b/>
          <w:spacing w:val="10"/>
          <w:sz w:val="24"/>
        </w:rPr>
        <w:t xml:space="preserve">二、邀标文件 </w:t>
      </w:r>
    </w:p>
    <w:p>
      <w:pPr>
        <w:spacing w:line="500" w:lineRule="exact"/>
        <w:ind w:firstLine="520" w:firstLineChars="200"/>
        <w:rPr>
          <w:rFonts w:ascii="宋体" w:hAnsi="宋体"/>
          <w:spacing w:val="10"/>
          <w:sz w:val="24"/>
        </w:rPr>
      </w:pPr>
      <w:r>
        <w:rPr>
          <w:rFonts w:hint="eastAsia" w:ascii="宋体" w:hAnsi="宋体"/>
          <w:spacing w:val="10"/>
          <w:sz w:val="24"/>
        </w:rPr>
        <w:t xml:space="preserve">1. 投标单位参加投标，必须按上海交通大学钱学森图书馆规定的时间、地点领取邀标文件，承认并履行邀标文件中的各项规定，在邀标截止期前，将按规定的格式及内容填写的投标文件提交至上海华山路1800号钱学森图书馆301室。 </w:t>
      </w:r>
    </w:p>
    <w:p>
      <w:pPr>
        <w:spacing w:line="500" w:lineRule="exact"/>
        <w:ind w:firstLine="520" w:firstLineChars="200"/>
        <w:rPr>
          <w:rFonts w:ascii="宋体" w:hAnsi="宋体"/>
          <w:spacing w:val="10"/>
          <w:sz w:val="24"/>
        </w:rPr>
      </w:pPr>
      <w:r>
        <w:rPr>
          <w:rFonts w:hint="eastAsia" w:ascii="宋体" w:hAnsi="宋体"/>
          <w:spacing w:val="10"/>
          <w:sz w:val="24"/>
        </w:rPr>
        <w:t xml:space="preserve">2. 邀标单位对招标文件如有疑问，应于投标截止日期3天前以书面形式向上海交通大学钱学森图书馆提出。 </w:t>
      </w:r>
    </w:p>
    <w:p>
      <w:pPr>
        <w:spacing w:line="500" w:lineRule="exact"/>
        <w:ind w:firstLine="520" w:firstLineChars="200"/>
        <w:rPr>
          <w:rFonts w:ascii="宋体" w:hAnsi="宋体"/>
          <w:spacing w:val="10"/>
          <w:sz w:val="24"/>
        </w:rPr>
      </w:pPr>
      <w:r>
        <w:rPr>
          <w:rFonts w:hint="eastAsia" w:ascii="宋体" w:hAnsi="宋体"/>
          <w:spacing w:val="10"/>
          <w:sz w:val="24"/>
        </w:rPr>
        <w:t xml:space="preserve">3. 在邀标截止日期7天前，上海交通大学钱学森图书馆出于对有关方所提问题的澄清或其它考虑，可对招标文件以补充文件的形式进行修改。修改内容以书面文件形式通知各邀标人。评标将以修改后的补充文件为准。 </w:t>
      </w:r>
    </w:p>
    <w:p>
      <w:pPr>
        <w:spacing w:line="500" w:lineRule="exact"/>
        <w:ind w:firstLine="520" w:firstLineChars="200"/>
        <w:rPr>
          <w:rFonts w:ascii="宋体" w:hAnsi="宋体"/>
          <w:b/>
          <w:spacing w:val="10"/>
          <w:sz w:val="24"/>
        </w:rPr>
      </w:pPr>
      <w:r>
        <w:rPr>
          <w:rFonts w:hint="eastAsia" w:ascii="宋体" w:hAnsi="宋体"/>
          <w:b/>
          <w:spacing w:val="10"/>
          <w:sz w:val="24"/>
        </w:rPr>
        <w:t xml:space="preserve">三、投标文件 </w:t>
      </w:r>
    </w:p>
    <w:p>
      <w:pPr>
        <w:spacing w:line="500" w:lineRule="exact"/>
        <w:ind w:firstLine="520" w:firstLineChars="200"/>
        <w:rPr>
          <w:rFonts w:ascii="宋体" w:hAnsi="宋体"/>
          <w:spacing w:val="10"/>
          <w:sz w:val="24"/>
        </w:rPr>
      </w:pPr>
      <w:r>
        <w:rPr>
          <w:rFonts w:hint="eastAsia" w:ascii="宋体" w:hAnsi="宋体"/>
          <w:spacing w:val="10"/>
          <w:sz w:val="24"/>
        </w:rPr>
        <w:t xml:space="preserve">1. 投标文件的编写： </w:t>
      </w:r>
    </w:p>
    <w:p>
      <w:pPr>
        <w:spacing w:line="500" w:lineRule="exact"/>
        <w:ind w:firstLine="520" w:firstLineChars="200"/>
        <w:rPr>
          <w:rFonts w:ascii="宋体" w:hAnsi="宋体"/>
          <w:spacing w:val="10"/>
          <w:sz w:val="24"/>
        </w:rPr>
      </w:pPr>
      <w:r>
        <w:rPr>
          <w:rFonts w:hint="eastAsia" w:ascii="宋体" w:hAnsi="宋体"/>
          <w:spacing w:val="10"/>
          <w:sz w:val="24"/>
        </w:rPr>
        <w:t>1.1投标文件按</w:t>
      </w:r>
      <w:r>
        <w:rPr>
          <w:rFonts w:ascii="宋体" w:hAnsi="宋体"/>
          <w:spacing w:val="10"/>
          <w:sz w:val="24"/>
        </w:rPr>
        <w:t>上海交通大学钱学森图书馆</w:t>
      </w:r>
      <w:r>
        <w:rPr>
          <w:rFonts w:hint="eastAsia" w:ascii="宋体" w:hAnsi="宋体"/>
          <w:spacing w:val="10"/>
          <w:sz w:val="24"/>
        </w:rPr>
        <w:t xml:space="preserve">规定的第五部分投标文件的格式和内容编写。 </w:t>
      </w:r>
    </w:p>
    <w:p>
      <w:pPr>
        <w:spacing w:line="500" w:lineRule="exact"/>
        <w:ind w:left="105" w:leftChars="50" w:firstLine="390" w:firstLineChars="150"/>
        <w:rPr>
          <w:rFonts w:ascii="宋体" w:hAnsi="宋体"/>
          <w:spacing w:val="10"/>
          <w:sz w:val="24"/>
        </w:rPr>
      </w:pPr>
      <w:r>
        <w:rPr>
          <w:rFonts w:hint="eastAsia" w:ascii="宋体" w:hAnsi="宋体"/>
          <w:spacing w:val="10"/>
          <w:sz w:val="24"/>
        </w:rPr>
        <w:t>1.2投标单位应仔细阅读招标文件，了解投标文件的要求。在完全了解投标服务的要求后编制投标文件。</w:t>
      </w:r>
    </w:p>
    <w:p>
      <w:pPr>
        <w:spacing w:line="500" w:lineRule="exact"/>
        <w:ind w:firstLine="520" w:firstLineChars="200"/>
        <w:rPr>
          <w:rFonts w:ascii="宋体" w:hAnsi="宋体"/>
          <w:spacing w:val="10"/>
          <w:sz w:val="24"/>
        </w:rPr>
      </w:pPr>
      <w:r>
        <w:rPr>
          <w:rFonts w:hint="eastAsia" w:ascii="宋体" w:hAnsi="宋体"/>
          <w:spacing w:val="10"/>
          <w:sz w:val="24"/>
        </w:rPr>
        <w:t>1.3投标单位应就投标文件的全部内容进行投标。</w:t>
      </w:r>
    </w:p>
    <w:p>
      <w:pPr>
        <w:spacing w:line="500" w:lineRule="exact"/>
        <w:ind w:firstLine="520" w:firstLineChars="200"/>
        <w:rPr>
          <w:rFonts w:ascii="宋体" w:hAnsi="宋体"/>
          <w:spacing w:val="10"/>
          <w:sz w:val="24"/>
        </w:rPr>
      </w:pPr>
      <w:r>
        <w:rPr>
          <w:rFonts w:hint="eastAsia" w:ascii="宋体" w:hAnsi="宋体"/>
          <w:spacing w:val="10"/>
          <w:sz w:val="24"/>
        </w:rPr>
        <w:t>2. 报价：投标报价应为最具竞争力的一次性报价，开标后不得更改。</w:t>
      </w:r>
    </w:p>
    <w:p>
      <w:pPr>
        <w:spacing w:line="500" w:lineRule="exact"/>
        <w:ind w:firstLine="520" w:firstLineChars="200"/>
        <w:rPr>
          <w:rFonts w:ascii="宋体" w:hAnsi="宋体"/>
          <w:spacing w:val="10"/>
          <w:sz w:val="24"/>
        </w:rPr>
      </w:pPr>
      <w:r>
        <w:rPr>
          <w:rFonts w:hint="eastAsia" w:ascii="宋体" w:hAnsi="宋体"/>
          <w:spacing w:val="10"/>
          <w:sz w:val="24"/>
        </w:rPr>
        <w:t xml:space="preserve">3. 投标文件的有效期：投标文件从实际开标之日起一年内有效。 </w:t>
      </w:r>
    </w:p>
    <w:p>
      <w:pPr>
        <w:spacing w:line="500" w:lineRule="exact"/>
        <w:ind w:firstLine="520" w:firstLineChars="200"/>
        <w:rPr>
          <w:rFonts w:ascii="宋体" w:hAnsi="宋体"/>
          <w:spacing w:val="10"/>
          <w:sz w:val="24"/>
        </w:rPr>
      </w:pPr>
      <w:r>
        <w:rPr>
          <w:rFonts w:hint="eastAsia" w:ascii="宋体" w:hAnsi="宋体"/>
          <w:spacing w:val="10"/>
          <w:sz w:val="24"/>
        </w:rPr>
        <w:t xml:space="preserve">4. 投标文件的书写要求： </w:t>
      </w:r>
    </w:p>
    <w:p>
      <w:pPr>
        <w:spacing w:line="500" w:lineRule="exact"/>
        <w:ind w:firstLine="520" w:firstLineChars="200"/>
        <w:rPr>
          <w:rFonts w:ascii="宋体" w:hAnsi="宋体"/>
          <w:spacing w:val="10"/>
          <w:sz w:val="24"/>
        </w:rPr>
      </w:pPr>
      <w:r>
        <w:rPr>
          <w:rFonts w:hint="eastAsia" w:ascii="宋体" w:hAnsi="宋体"/>
          <w:spacing w:val="10"/>
          <w:sz w:val="24"/>
        </w:rPr>
        <w:t xml:space="preserve">4.1投标文件正本须用不褪色的墨水书写、打印。副本可用复印件，但应加盖投标单位公章。 </w:t>
      </w:r>
    </w:p>
    <w:p>
      <w:pPr>
        <w:spacing w:line="500" w:lineRule="exact"/>
        <w:ind w:firstLine="520" w:firstLineChars="200"/>
        <w:rPr>
          <w:rFonts w:ascii="宋体" w:hAnsi="宋体"/>
          <w:spacing w:val="10"/>
          <w:sz w:val="24"/>
        </w:rPr>
      </w:pPr>
      <w:r>
        <w:rPr>
          <w:rFonts w:hint="eastAsia" w:ascii="宋体" w:hAnsi="宋体"/>
          <w:spacing w:val="10"/>
          <w:sz w:val="24"/>
        </w:rPr>
        <w:t xml:space="preserve">4.2投标文件的书写应清楚工整。个别修改处应由投标全权代表签章。 </w:t>
      </w:r>
    </w:p>
    <w:p>
      <w:pPr>
        <w:spacing w:line="500" w:lineRule="exact"/>
        <w:ind w:firstLine="520" w:firstLineChars="200"/>
        <w:rPr>
          <w:rFonts w:ascii="宋体" w:hAnsi="宋体"/>
          <w:spacing w:val="10"/>
          <w:sz w:val="24"/>
        </w:rPr>
      </w:pPr>
      <w:r>
        <w:rPr>
          <w:rFonts w:hint="eastAsia" w:ascii="宋体" w:hAnsi="宋体"/>
          <w:spacing w:val="10"/>
          <w:sz w:val="24"/>
        </w:rPr>
        <w:t xml:space="preserve">4.3字迹潦草、表达不清、未按要求填写或可能导致非惟一理解的投标文件可能被判为废标。 </w:t>
      </w:r>
    </w:p>
    <w:p>
      <w:pPr>
        <w:spacing w:line="500" w:lineRule="exact"/>
        <w:ind w:firstLine="520" w:firstLineChars="200"/>
        <w:rPr>
          <w:rFonts w:ascii="宋体" w:hAnsi="宋体"/>
          <w:spacing w:val="10"/>
          <w:sz w:val="24"/>
        </w:rPr>
      </w:pPr>
      <w:r>
        <w:rPr>
          <w:rFonts w:hint="eastAsia" w:ascii="宋体" w:hAnsi="宋体"/>
          <w:spacing w:val="10"/>
          <w:sz w:val="24"/>
        </w:rPr>
        <w:t xml:space="preserve">4.4投标文件应由法人授权代表在凡规定签章处逐一签署并加盖单位的公章。 </w:t>
      </w:r>
    </w:p>
    <w:p>
      <w:pPr>
        <w:spacing w:line="500" w:lineRule="exact"/>
        <w:ind w:firstLine="520" w:firstLineChars="200"/>
        <w:rPr>
          <w:rFonts w:ascii="宋体" w:hAnsi="宋体"/>
          <w:spacing w:val="10"/>
          <w:sz w:val="24"/>
        </w:rPr>
      </w:pPr>
      <w:r>
        <w:rPr>
          <w:rFonts w:hint="eastAsia" w:ascii="宋体" w:hAnsi="宋体"/>
          <w:spacing w:val="10"/>
          <w:sz w:val="24"/>
        </w:rPr>
        <w:t xml:space="preserve">4.5投标文件的份数：投标文件一式5份，正本1份，副本4份，并在文件左上角注明“正本”、“副本”字样；参考资料不限量。 </w:t>
      </w:r>
    </w:p>
    <w:p>
      <w:pPr>
        <w:spacing w:line="500" w:lineRule="exact"/>
        <w:ind w:firstLine="520" w:firstLineChars="200"/>
        <w:rPr>
          <w:rFonts w:ascii="宋体" w:hAnsi="宋体"/>
          <w:spacing w:val="10"/>
          <w:sz w:val="24"/>
        </w:rPr>
      </w:pPr>
      <w:r>
        <w:rPr>
          <w:rFonts w:hint="eastAsia" w:ascii="宋体" w:hAnsi="宋体"/>
          <w:spacing w:val="10"/>
          <w:sz w:val="24"/>
        </w:rPr>
        <w:t xml:space="preserve">4.6投标单位可根据投标服务方案的具体需要自行编制其它文件作为附件一式5份纳入投标文件后。 </w:t>
      </w:r>
    </w:p>
    <w:p>
      <w:pPr>
        <w:spacing w:line="500" w:lineRule="exact"/>
        <w:ind w:firstLine="520" w:firstLineChars="200"/>
        <w:rPr>
          <w:rFonts w:ascii="宋体" w:hAnsi="宋体"/>
          <w:spacing w:val="10"/>
          <w:sz w:val="24"/>
        </w:rPr>
      </w:pPr>
      <w:r>
        <w:rPr>
          <w:rFonts w:hint="eastAsia" w:ascii="宋体" w:hAnsi="宋体"/>
          <w:b/>
          <w:spacing w:val="10"/>
          <w:sz w:val="24"/>
        </w:rPr>
        <w:t>四、投标</w:t>
      </w:r>
    </w:p>
    <w:p>
      <w:pPr>
        <w:spacing w:line="500" w:lineRule="exact"/>
        <w:ind w:firstLine="520" w:firstLineChars="200"/>
        <w:rPr>
          <w:rFonts w:ascii="宋体" w:hAnsi="宋体"/>
          <w:spacing w:val="10"/>
          <w:sz w:val="24"/>
        </w:rPr>
      </w:pPr>
      <w:r>
        <w:rPr>
          <w:rFonts w:hint="eastAsia" w:ascii="宋体" w:hAnsi="宋体"/>
          <w:spacing w:val="10"/>
          <w:sz w:val="24"/>
        </w:rPr>
        <w:t xml:space="preserve">1. 投标文件的密封与标记： </w:t>
      </w:r>
    </w:p>
    <w:p>
      <w:pPr>
        <w:spacing w:line="500" w:lineRule="exact"/>
        <w:ind w:firstLine="520" w:firstLineChars="200"/>
        <w:rPr>
          <w:rFonts w:ascii="宋体" w:hAnsi="宋体"/>
          <w:spacing w:val="10"/>
          <w:sz w:val="24"/>
        </w:rPr>
      </w:pPr>
      <w:r>
        <w:rPr>
          <w:rFonts w:hint="eastAsia" w:ascii="宋体" w:hAnsi="宋体"/>
          <w:spacing w:val="10"/>
          <w:sz w:val="24"/>
        </w:rPr>
        <w:t xml:space="preserve">1.1将投标书正副本共5份及其它相关投标文件装入投标密封袋内密封，封口处应有法人授权代表的签字及投标单位公章，封皮上写明招标项目名称、投标方名称、地址、邮政编码，来人投送。此密封文件将在开标会上当众启封。 </w:t>
      </w:r>
    </w:p>
    <w:p>
      <w:pPr>
        <w:spacing w:line="500" w:lineRule="exact"/>
        <w:ind w:firstLine="520" w:firstLineChars="200"/>
        <w:rPr>
          <w:rFonts w:ascii="宋体" w:hAnsi="宋体"/>
          <w:spacing w:val="10"/>
          <w:sz w:val="24"/>
        </w:rPr>
      </w:pPr>
      <w:r>
        <w:rPr>
          <w:rFonts w:hint="eastAsia" w:ascii="宋体" w:hAnsi="宋体"/>
          <w:spacing w:val="10"/>
          <w:sz w:val="24"/>
        </w:rPr>
        <w:t xml:space="preserve">1.2未按本须知要求密封、标记和投递的招标文件，将作为废标处理。 </w:t>
      </w:r>
    </w:p>
    <w:p>
      <w:pPr>
        <w:spacing w:line="500" w:lineRule="exact"/>
        <w:ind w:firstLine="520" w:firstLineChars="200"/>
        <w:rPr>
          <w:rFonts w:ascii="宋体" w:hAnsi="宋体"/>
          <w:spacing w:val="10"/>
          <w:sz w:val="24"/>
        </w:rPr>
      </w:pPr>
      <w:r>
        <w:rPr>
          <w:rFonts w:hint="eastAsia" w:ascii="宋体" w:hAnsi="宋体"/>
          <w:spacing w:val="10"/>
          <w:sz w:val="24"/>
        </w:rPr>
        <w:t xml:space="preserve">2. 投标截止时间：投标文件须于投标截止时间前送达本次邀标开标地点。超过投标截止时间送达的投标文件不予接受。 </w:t>
      </w:r>
    </w:p>
    <w:p>
      <w:pPr>
        <w:spacing w:line="500" w:lineRule="exact"/>
        <w:ind w:firstLine="520" w:firstLineChars="200"/>
        <w:rPr>
          <w:rFonts w:ascii="宋体" w:hAnsi="宋体"/>
          <w:spacing w:val="10"/>
          <w:sz w:val="24"/>
        </w:rPr>
      </w:pPr>
      <w:r>
        <w:rPr>
          <w:rFonts w:hint="eastAsia" w:ascii="宋体" w:hAnsi="宋体"/>
          <w:spacing w:val="10"/>
          <w:sz w:val="24"/>
        </w:rPr>
        <w:t>3. 投标文件的修改和撤销:</w:t>
      </w:r>
    </w:p>
    <w:p>
      <w:pPr>
        <w:spacing w:line="500" w:lineRule="exact"/>
        <w:ind w:firstLine="520" w:firstLineChars="200"/>
        <w:rPr>
          <w:rFonts w:ascii="宋体" w:hAnsi="宋体"/>
          <w:spacing w:val="10"/>
          <w:sz w:val="24"/>
        </w:rPr>
      </w:pPr>
      <w:r>
        <w:rPr>
          <w:rFonts w:hint="eastAsia" w:ascii="宋体" w:hAnsi="宋体"/>
          <w:spacing w:val="10"/>
          <w:sz w:val="24"/>
        </w:rPr>
        <w:t>3.1投标文件在投标截止之前，招标方允许对已提交的投标文件进行补充或修改，但须由投标方授权代表签字后方为有效。在投标截止后投标文件不得修改。</w:t>
      </w:r>
    </w:p>
    <w:p>
      <w:pPr>
        <w:spacing w:line="500" w:lineRule="exact"/>
        <w:ind w:firstLine="520" w:firstLineChars="200"/>
        <w:rPr>
          <w:rFonts w:ascii="宋体" w:hAnsi="宋体"/>
          <w:spacing w:val="10"/>
          <w:sz w:val="24"/>
        </w:rPr>
      </w:pPr>
      <w:r>
        <w:rPr>
          <w:rFonts w:hint="eastAsia" w:ascii="宋体" w:hAnsi="宋体"/>
          <w:spacing w:val="10"/>
          <w:sz w:val="24"/>
        </w:rPr>
        <w:t>3.2如有修改后的投标文件，评标以修改后的内容为准。</w:t>
      </w:r>
    </w:p>
    <w:p>
      <w:pPr>
        <w:spacing w:line="500" w:lineRule="exact"/>
        <w:ind w:firstLine="520" w:firstLineChars="200"/>
        <w:rPr>
          <w:rFonts w:ascii="宋体" w:hAnsi="宋体"/>
          <w:spacing w:val="10"/>
          <w:sz w:val="24"/>
        </w:rPr>
      </w:pPr>
      <w:r>
        <w:rPr>
          <w:rFonts w:hint="eastAsia" w:ascii="宋体" w:hAnsi="宋体"/>
          <w:spacing w:val="10"/>
          <w:sz w:val="24"/>
        </w:rPr>
        <w:t xml:space="preserve">3.3撤销投标须以书面形式提出理由，并应有法人授权代表的签字和单位公章。如时间急促，可先以传真文函通知上海交通大学招投标管理办公室（恕不受理电话撤标申请），并随后补交书面撤标文函原件。 </w:t>
      </w:r>
    </w:p>
    <w:p>
      <w:pPr>
        <w:spacing w:line="500" w:lineRule="exact"/>
        <w:ind w:firstLine="520" w:firstLineChars="200"/>
        <w:rPr>
          <w:rFonts w:ascii="宋体" w:hAnsi="宋体"/>
          <w:b/>
          <w:spacing w:val="10"/>
          <w:sz w:val="24"/>
        </w:rPr>
      </w:pPr>
      <w:r>
        <w:rPr>
          <w:rFonts w:hint="eastAsia" w:ascii="宋体" w:hAnsi="宋体"/>
          <w:b/>
          <w:spacing w:val="10"/>
          <w:sz w:val="24"/>
        </w:rPr>
        <w:t xml:space="preserve">五、开标及评标 </w:t>
      </w:r>
    </w:p>
    <w:p>
      <w:pPr>
        <w:spacing w:line="500" w:lineRule="exact"/>
        <w:ind w:firstLine="520" w:firstLineChars="200"/>
        <w:rPr>
          <w:rFonts w:ascii="宋体" w:hAnsi="宋体"/>
          <w:spacing w:val="10"/>
          <w:sz w:val="24"/>
        </w:rPr>
      </w:pPr>
      <w:r>
        <w:rPr>
          <w:rFonts w:hint="eastAsia" w:ascii="宋体" w:hAnsi="宋体"/>
          <w:spacing w:val="10"/>
          <w:sz w:val="24"/>
        </w:rPr>
        <w:t>1. 开标：</w:t>
      </w:r>
    </w:p>
    <w:p>
      <w:pPr>
        <w:spacing w:line="500" w:lineRule="exact"/>
        <w:ind w:firstLine="520" w:firstLineChars="200"/>
        <w:rPr>
          <w:rFonts w:ascii="宋体" w:hAnsi="宋体"/>
          <w:spacing w:val="10"/>
          <w:sz w:val="24"/>
        </w:rPr>
      </w:pPr>
      <w:r>
        <w:rPr>
          <w:rFonts w:hint="eastAsia" w:ascii="宋体" w:hAnsi="宋体"/>
          <w:spacing w:val="10"/>
          <w:sz w:val="24"/>
        </w:rPr>
        <w:t>1.1</w:t>
      </w:r>
      <w:r>
        <w:rPr>
          <w:rFonts w:ascii="宋体" w:hAnsi="宋体"/>
          <w:spacing w:val="10"/>
          <w:sz w:val="24"/>
        </w:rPr>
        <w:t>上海交通大学钱学森图书馆</w:t>
      </w:r>
      <w:r>
        <w:rPr>
          <w:rFonts w:hint="eastAsia" w:ascii="宋体" w:hAnsi="宋体"/>
          <w:spacing w:val="10"/>
          <w:sz w:val="24"/>
        </w:rPr>
        <w:t xml:space="preserve">根据邀标公告或投标邀请书规定的时间、地点组织开标。开标会由邀标方、监察方、陈展专家参加。 </w:t>
      </w:r>
    </w:p>
    <w:p>
      <w:pPr>
        <w:spacing w:line="500" w:lineRule="exact"/>
        <w:ind w:firstLine="520" w:firstLineChars="200"/>
        <w:rPr>
          <w:rFonts w:ascii="宋体" w:hAnsi="宋体"/>
          <w:spacing w:val="10"/>
          <w:sz w:val="24"/>
        </w:rPr>
      </w:pPr>
      <w:r>
        <w:rPr>
          <w:rFonts w:hint="eastAsia" w:ascii="宋体" w:hAnsi="宋体"/>
          <w:spacing w:val="10"/>
          <w:sz w:val="24"/>
        </w:rPr>
        <w:t>1.2投标文件中如有下列错误必须修正并确认，否则投标文件将被拒绝：</w:t>
      </w:r>
    </w:p>
    <w:p>
      <w:pPr>
        <w:spacing w:line="500" w:lineRule="exact"/>
        <w:ind w:firstLine="520" w:firstLineChars="200"/>
        <w:rPr>
          <w:rFonts w:ascii="宋体" w:hAnsi="宋体"/>
          <w:spacing w:val="10"/>
          <w:sz w:val="24"/>
        </w:rPr>
      </w:pPr>
      <w:r>
        <w:rPr>
          <w:rFonts w:hint="eastAsia" w:ascii="宋体" w:hAnsi="宋体"/>
          <w:spacing w:val="10"/>
          <w:sz w:val="24"/>
        </w:rPr>
        <w:t xml:space="preserve">当单价与数量的乘积与合价之间不一致时，通常以标出的单价为准。除非评标委员会认为有明显的小数点错位，此时应以标出的合价为准，并修改单价。用阿拉伯数字表示的金额与用大写金额不一致时，以大写金额为准。 </w:t>
      </w:r>
    </w:p>
    <w:p>
      <w:pPr>
        <w:spacing w:line="500" w:lineRule="exact"/>
        <w:ind w:firstLine="520" w:firstLineChars="200"/>
        <w:rPr>
          <w:rFonts w:ascii="宋体" w:hAnsi="宋体"/>
          <w:spacing w:val="10"/>
          <w:sz w:val="24"/>
        </w:rPr>
      </w:pPr>
      <w:r>
        <w:rPr>
          <w:rFonts w:hint="eastAsia" w:ascii="宋体" w:hAnsi="宋体"/>
          <w:spacing w:val="10"/>
          <w:sz w:val="24"/>
        </w:rPr>
        <w:t xml:space="preserve">1.3与邀标文件有重大偏离的投标文件将被拒绝。 </w:t>
      </w:r>
    </w:p>
    <w:p>
      <w:pPr>
        <w:spacing w:line="500" w:lineRule="exact"/>
        <w:ind w:firstLine="520" w:firstLineChars="200"/>
        <w:rPr>
          <w:rFonts w:ascii="宋体" w:hAnsi="宋体"/>
          <w:spacing w:val="10"/>
          <w:sz w:val="24"/>
        </w:rPr>
      </w:pPr>
      <w:r>
        <w:rPr>
          <w:rFonts w:hint="eastAsia" w:ascii="宋体" w:hAnsi="宋体"/>
          <w:spacing w:val="10"/>
          <w:sz w:val="24"/>
        </w:rPr>
        <w:t>2. 评标：</w:t>
      </w:r>
    </w:p>
    <w:p>
      <w:pPr>
        <w:spacing w:line="500" w:lineRule="exact"/>
        <w:ind w:firstLine="520" w:firstLineChars="200"/>
        <w:rPr>
          <w:rFonts w:ascii="宋体" w:hAnsi="宋体"/>
          <w:spacing w:val="10"/>
          <w:sz w:val="24"/>
        </w:rPr>
      </w:pPr>
      <w:r>
        <w:rPr>
          <w:rFonts w:hint="eastAsia" w:ascii="宋体" w:hAnsi="宋体"/>
          <w:spacing w:val="10"/>
          <w:sz w:val="24"/>
        </w:rPr>
        <w:t>2.1</w:t>
      </w:r>
      <w:r>
        <w:rPr>
          <w:rFonts w:ascii="宋体" w:hAnsi="宋体"/>
          <w:spacing w:val="10"/>
          <w:sz w:val="24"/>
        </w:rPr>
        <w:t>上海交通大学钱学森图书馆</w:t>
      </w:r>
      <w:r>
        <w:rPr>
          <w:rFonts w:hint="eastAsia" w:ascii="宋体" w:hAnsi="宋体"/>
          <w:spacing w:val="10"/>
          <w:sz w:val="24"/>
        </w:rPr>
        <w:t>按邀标的项目组建评标委员会。其成员由陈展、财务、法律、管理等有关方面的专家组成。</w:t>
      </w:r>
    </w:p>
    <w:p>
      <w:pPr>
        <w:spacing w:line="500" w:lineRule="exact"/>
        <w:ind w:firstLine="520" w:firstLineChars="200"/>
        <w:rPr>
          <w:rFonts w:ascii="宋体" w:hAnsi="宋体"/>
          <w:spacing w:val="10"/>
          <w:sz w:val="24"/>
        </w:rPr>
      </w:pPr>
      <w:r>
        <w:rPr>
          <w:rFonts w:hint="eastAsia" w:ascii="宋体" w:hAnsi="宋体"/>
          <w:spacing w:val="10"/>
          <w:sz w:val="24"/>
        </w:rPr>
        <w:t xml:space="preserve">2.2评标的依据为邀标文件和投标文件。 </w:t>
      </w:r>
    </w:p>
    <w:p>
      <w:pPr>
        <w:spacing w:line="500" w:lineRule="exact"/>
        <w:ind w:firstLine="520" w:firstLineChars="200"/>
        <w:rPr>
          <w:rFonts w:ascii="宋体" w:hAnsi="宋体"/>
          <w:spacing w:val="10"/>
          <w:sz w:val="24"/>
        </w:rPr>
      </w:pPr>
      <w:r>
        <w:rPr>
          <w:rFonts w:hint="eastAsia" w:ascii="宋体" w:hAnsi="宋体"/>
          <w:spacing w:val="10"/>
          <w:sz w:val="24"/>
        </w:rPr>
        <w:t xml:space="preserve">2.3评标的主要内容为： </w:t>
      </w:r>
    </w:p>
    <w:p>
      <w:pPr>
        <w:spacing w:line="500" w:lineRule="exact"/>
        <w:ind w:firstLine="520" w:firstLineChars="200"/>
        <w:rPr>
          <w:rFonts w:ascii="宋体" w:hAnsi="宋体"/>
          <w:spacing w:val="10"/>
          <w:sz w:val="24"/>
        </w:rPr>
      </w:pPr>
      <w:r>
        <w:rPr>
          <w:rFonts w:hint="eastAsia" w:ascii="宋体" w:hAnsi="宋体"/>
          <w:spacing w:val="10"/>
          <w:sz w:val="24"/>
        </w:rPr>
        <w:t xml:space="preserve">A. 总体立面布局设计(含展览总体轴侧图和柜内结构说明图不少于二幅)； </w:t>
      </w:r>
    </w:p>
    <w:p>
      <w:pPr>
        <w:spacing w:line="500" w:lineRule="exact"/>
        <w:ind w:firstLine="520" w:firstLineChars="200"/>
        <w:rPr>
          <w:rFonts w:ascii="宋体" w:hAnsi="宋体"/>
          <w:spacing w:val="10"/>
          <w:sz w:val="24"/>
        </w:rPr>
      </w:pPr>
      <w:r>
        <w:rPr>
          <w:rFonts w:hint="eastAsia" w:ascii="宋体" w:hAnsi="宋体"/>
          <w:spacing w:val="10"/>
          <w:sz w:val="24"/>
        </w:rPr>
        <w:t>B. 空间效果图（包含展览色调与总体空间布局图不少于一幅，不限数量）；</w:t>
      </w:r>
    </w:p>
    <w:p>
      <w:pPr>
        <w:spacing w:line="500" w:lineRule="exact"/>
        <w:ind w:firstLine="520" w:firstLineChars="200"/>
        <w:rPr>
          <w:rFonts w:ascii="宋体" w:hAnsi="宋体"/>
          <w:spacing w:val="10"/>
          <w:sz w:val="24"/>
        </w:rPr>
      </w:pPr>
      <w:r>
        <w:rPr>
          <w:rFonts w:hint="eastAsia" w:ascii="宋体" w:hAnsi="宋体"/>
          <w:spacing w:val="10"/>
          <w:sz w:val="24"/>
        </w:rPr>
        <w:t xml:space="preserve">C. </w:t>
      </w:r>
      <w:r>
        <w:rPr>
          <w:rFonts w:hint="eastAsia" w:ascii="宋体" w:hAnsi="宋体"/>
          <w:spacing w:val="10"/>
          <w:sz w:val="24"/>
          <w:lang w:val="en-US" w:eastAsia="zh-Hans"/>
        </w:rPr>
        <w:t>艺术装置作品</w:t>
      </w:r>
      <w:r>
        <w:rPr>
          <w:rFonts w:hint="eastAsia" w:ascii="宋体" w:hAnsi="宋体"/>
          <w:spacing w:val="10"/>
          <w:sz w:val="24"/>
        </w:rPr>
        <w:t>展示效果图（不少于</w:t>
      </w:r>
      <w:r>
        <w:rPr>
          <w:rFonts w:hint="eastAsia" w:ascii="宋体" w:hAnsi="宋体"/>
          <w:spacing w:val="10"/>
          <w:sz w:val="24"/>
          <w:lang w:val="en-US" w:eastAsia="zh-Hans"/>
        </w:rPr>
        <w:t>一幅</w:t>
      </w:r>
      <w:r>
        <w:rPr>
          <w:rFonts w:hint="eastAsia" w:ascii="宋体" w:hAnsi="宋体"/>
          <w:spacing w:val="10"/>
          <w:sz w:val="24"/>
        </w:rPr>
        <w:t>，不限数量）；</w:t>
      </w:r>
    </w:p>
    <w:p>
      <w:pPr>
        <w:spacing w:line="500" w:lineRule="exact"/>
        <w:ind w:firstLine="520" w:firstLineChars="200"/>
        <w:rPr>
          <w:rFonts w:ascii="宋体" w:hAnsi="宋体"/>
          <w:spacing w:val="10"/>
          <w:sz w:val="24"/>
        </w:rPr>
      </w:pPr>
      <w:r>
        <w:rPr>
          <w:rFonts w:hint="eastAsia" w:ascii="宋体" w:hAnsi="宋体"/>
          <w:spacing w:val="10"/>
          <w:sz w:val="24"/>
        </w:rPr>
        <w:t>D. 版面立面设计效果图（不少于四幅，不限数量）；</w:t>
      </w:r>
    </w:p>
    <w:p>
      <w:pPr>
        <w:spacing w:line="500" w:lineRule="exact"/>
        <w:ind w:firstLine="520" w:firstLineChars="200"/>
        <w:rPr>
          <w:rFonts w:ascii="宋体" w:hAnsi="宋体"/>
          <w:spacing w:val="10"/>
          <w:sz w:val="24"/>
        </w:rPr>
      </w:pPr>
      <w:r>
        <w:rPr>
          <w:rFonts w:hint="eastAsia" w:ascii="宋体" w:hAnsi="宋体"/>
          <w:spacing w:val="10"/>
          <w:sz w:val="24"/>
        </w:rPr>
        <w:t>E. 主题背景版面设计图 （不少于一幅，不限数量）；</w:t>
      </w:r>
    </w:p>
    <w:p>
      <w:pPr>
        <w:spacing w:line="500" w:lineRule="exact"/>
        <w:ind w:firstLine="520" w:firstLineChars="200"/>
        <w:rPr>
          <w:rFonts w:ascii="宋体" w:hAnsi="宋体"/>
          <w:spacing w:val="10"/>
          <w:sz w:val="24"/>
        </w:rPr>
      </w:pPr>
      <w:r>
        <w:rPr>
          <w:rFonts w:hint="eastAsia" w:ascii="宋体" w:hAnsi="宋体"/>
          <w:spacing w:val="10"/>
          <w:sz w:val="24"/>
        </w:rPr>
        <w:t>F．折页效果图（不少于正反面，不限数量）</w:t>
      </w:r>
    </w:p>
    <w:p>
      <w:pPr>
        <w:spacing w:line="500" w:lineRule="exact"/>
        <w:ind w:firstLine="520" w:firstLineChars="200"/>
        <w:rPr>
          <w:rFonts w:ascii="宋体" w:hAnsi="宋体"/>
          <w:spacing w:val="10"/>
          <w:sz w:val="24"/>
        </w:rPr>
      </w:pPr>
      <w:r>
        <w:rPr>
          <w:rFonts w:hint="eastAsia" w:ascii="宋体" w:hAnsi="宋体"/>
          <w:spacing w:val="10"/>
          <w:sz w:val="24"/>
        </w:rPr>
        <w:t>G．公司最新三项展览设计施工一体化工程业绩评价及报价，甲方联系人与联系方式。</w:t>
      </w:r>
    </w:p>
    <w:p>
      <w:pPr>
        <w:spacing w:line="500" w:lineRule="exact"/>
        <w:ind w:firstLine="520" w:firstLineChars="200"/>
        <w:rPr>
          <w:rFonts w:ascii="宋体" w:hAnsi="宋体"/>
          <w:spacing w:val="10"/>
          <w:sz w:val="24"/>
        </w:rPr>
      </w:pPr>
      <w:r>
        <w:rPr>
          <w:rFonts w:hint="eastAsia" w:ascii="宋体" w:hAnsi="宋体"/>
          <w:spacing w:val="10"/>
          <w:sz w:val="24"/>
        </w:rPr>
        <w:t>3. 投标文件的澄清:</w:t>
      </w:r>
    </w:p>
    <w:p>
      <w:pPr>
        <w:spacing w:line="500" w:lineRule="exact"/>
        <w:ind w:firstLine="520" w:firstLineChars="200"/>
        <w:rPr>
          <w:rFonts w:ascii="宋体" w:hAnsi="宋体"/>
          <w:spacing w:val="10"/>
          <w:sz w:val="24"/>
        </w:rPr>
      </w:pPr>
      <w:r>
        <w:rPr>
          <w:rFonts w:hint="eastAsia" w:ascii="宋体" w:hAnsi="宋体"/>
          <w:spacing w:val="10"/>
          <w:sz w:val="24"/>
        </w:rPr>
        <w:t xml:space="preserve">3.1评标委员会有权请投标单位就投标文件中含混之处加以澄清。 </w:t>
      </w:r>
    </w:p>
    <w:p>
      <w:pPr>
        <w:spacing w:line="500" w:lineRule="exact"/>
        <w:ind w:firstLine="520" w:firstLineChars="200"/>
        <w:rPr>
          <w:rFonts w:ascii="宋体" w:hAnsi="宋体"/>
          <w:spacing w:val="10"/>
          <w:sz w:val="24"/>
        </w:rPr>
      </w:pPr>
      <w:r>
        <w:rPr>
          <w:rFonts w:hint="eastAsia" w:ascii="宋体" w:hAnsi="宋体"/>
          <w:spacing w:val="10"/>
          <w:sz w:val="24"/>
        </w:rPr>
        <w:t xml:space="preserve">3.2投标单位对要求澄清的问题应以书面形式明确答复，并应有法人授权代表的签字。 </w:t>
      </w:r>
    </w:p>
    <w:p>
      <w:pPr>
        <w:spacing w:line="500" w:lineRule="exact"/>
        <w:ind w:firstLine="520" w:firstLineChars="200"/>
        <w:rPr>
          <w:rFonts w:ascii="宋体" w:hAnsi="宋体"/>
          <w:spacing w:val="10"/>
          <w:sz w:val="24"/>
        </w:rPr>
      </w:pPr>
      <w:r>
        <w:rPr>
          <w:rFonts w:hint="eastAsia" w:ascii="宋体" w:hAnsi="宋体"/>
          <w:spacing w:val="10"/>
          <w:sz w:val="24"/>
        </w:rPr>
        <w:t xml:space="preserve">3.3投标单位的澄清文件是投标文件的组成部分，并取代投标文件中被澄清的部分。 </w:t>
      </w:r>
    </w:p>
    <w:p>
      <w:pPr>
        <w:spacing w:line="500" w:lineRule="exact"/>
        <w:ind w:firstLine="520" w:firstLineChars="200"/>
        <w:rPr>
          <w:rFonts w:ascii="宋体" w:hAnsi="宋体"/>
          <w:spacing w:val="10"/>
          <w:sz w:val="24"/>
        </w:rPr>
      </w:pPr>
      <w:r>
        <w:rPr>
          <w:rFonts w:hint="eastAsia" w:ascii="宋体" w:hAnsi="宋体"/>
          <w:spacing w:val="10"/>
          <w:sz w:val="24"/>
        </w:rPr>
        <w:t xml:space="preserve">3.4投标文件的澄清不得改变投标的实质内容及报价。 </w:t>
      </w:r>
    </w:p>
    <w:p>
      <w:pPr>
        <w:spacing w:line="500" w:lineRule="exact"/>
        <w:ind w:firstLine="520" w:firstLineChars="200"/>
        <w:rPr>
          <w:rFonts w:ascii="宋体" w:hAnsi="宋体"/>
          <w:spacing w:val="10"/>
          <w:sz w:val="24"/>
        </w:rPr>
      </w:pPr>
      <w:r>
        <w:rPr>
          <w:rFonts w:hint="eastAsia" w:ascii="宋体" w:hAnsi="宋体"/>
          <w:spacing w:val="10"/>
          <w:sz w:val="24"/>
        </w:rPr>
        <w:t>4. 评标：</w:t>
      </w:r>
    </w:p>
    <w:p>
      <w:pPr>
        <w:spacing w:line="500" w:lineRule="exact"/>
        <w:ind w:firstLine="520" w:firstLineChars="200"/>
        <w:rPr>
          <w:rFonts w:ascii="宋体" w:hAnsi="宋体"/>
          <w:spacing w:val="10"/>
          <w:sz w:val="24"/>
        </w:rPr>
      </w:pPr>
      <w:r>
        <w:rPr>
          <w:rFonts w:hint="eastAsia" w:ascii="宋体" w:hAnsi="宋体"/>
          <w:spacing w:val="10"/>
          <w:sz w:val="24"/>
        </w:rPr>
        <w:t>4.1评标委员会综合评价艺术效果、技术、经济综合效益按对钱学森图书馆最有利的原则，决定中标单位。</w:t>
      </w:r>
    </w:p>
    <w:p>
      <w:pPr>
        <w:spacing w:line="500" w:lineRule="exact"/>
        <w:ind w:firstLine="520" w:firstLineChars="200"/>
        <w:rPr>
          <w:rFonts w:ascii="宋体" w:hAnsi="宋体"/>
          <w:spacing w:val="10"/>
          <w:sz w:val="24"/>
        </w:rPr>
      </w:pPr>
      <w:r>
        <w:rPr>
          <w:rFonts w:hint="eastAsia" w:ascii="宋体" w:hAnsi="宋体"/>
          <w:spacing w:val="10"/>
          <w:sz w:val="24"/>
        </w:rPr>
        <w:t xml:space="preserve">4.2如有必要，评标委员会可先确定预中标单位。通过对预中标单位的考察，最后确定中标单位。 </w:t>
      </w:r>
    </w:p>
    <w:p>
      <w:pPr>
        <w:spacing w:line="500" w:lineRule="exact"/>
        <w:ind w:firstLine="520" w:firstLineChars="200"/>
        <w:rPr>
          <w:rFonts w:ascii="宋体" w:hAnsi="宋体"/>
          <w:spacing w:val="10"/>
          <w:sz w:val="24"/>
        </w:rPr>
      </w:pPr>
      <w:r>
        <w:rPr>
          <w:rFonts w:hint="eastAsia" w:ascii="宋体" w:hAnsi="宋体"/>
          <w:spacing w:val="10"/>
          <w:sz w:val="24"/>
        </w:rPr>
        <w:t>4.3</w:t>
      </w:r>
      <w:r>
        <w:rPr>
          <w:rFonts w:ascii="宋体" w:hAnsi="宋体"/>
          <w:spacing w:val="10"/>
          <w:sz w:val="24"/>
        </w:rPr>
        <w:t>上海交通大学钱学森图书馆</w:t>
      </w:r>
      <w:r>
        <w:rPr>
          <w:rFonts w:hint="eastAsia" w:ascii="宋体" w:hAnsi="宋体"/>
          <w:spacing w:val="10"/>
          <w:sz w:val="24"/>
        </w:rPr>
        <w:t>根据评标委员会的评标结果，向中标单位发出中标通知书。 中标单位应在收到中标通知书7日内与钱学森图书馆协商签订合同。</w:t>
      </w:r>
    </w:p>
    <w:p>
      <w:pPr>
        <w:spacing w:line="500" w:lineRule="exact"/>
        <w:ind w:firstLine="520" w:firstLineChars="200"/>
        <w:rPr>
          <w:rFonts w:ascii="宋体" w:hAnsi="宋体"/>
          <w:spacing w:val="10"/>
          <w:sz w:val="24"/>
        </w:rPr>
      </w:pPr>
      <w:r>
        <w:rPr>
          <w:rFonts w:hint="eastAsia" w:ascii="宋体" w:hAnsi="宋体"/>
          <w:spacing w:val="10"/>
          <w:sz w:val="24"/>
        </w:rPr>
        <w:t>4.4在中标方与钱学森图书馆签订经济合同后15日内，</w:t>
      </w:r>
      <w:r>
        <w:rPr>
          <w:rFonts w:ascii="宋体" w:hAnsi="宋体"/>
          <w:spacing w:val="10"/>
          <w:sz w:val="24"/>
        </w:rPr>
        <w:t>上海交通大学钱学森图书馆</w:t>
      </w:r>
      <w:r>
        <w:rPr>
          <w:rFonts w:hint="eastAsia" w:ascii="宋体" w:hAnsi="宋体"/>
          <w:spacing w:val="10"/>
          <w:sz w:val="24"/>
        </w:rPr>
        <w:t>向未中标单位发出未中标标通知，不解释未中标原因，不退还投标文件。</w:t>
      </w:r>
    </w:p>
    <w:p>
      <w:pPr>
        <w:spacing w:line="500" w:lineRule="exact"/>
        <w:ind w:firstLine="520" w:firstLineChars="200"/>
        <w:rPr>
          <w:rFonts w:ascii="宋体" w:hAnsi="宋体"/>
          <w:spacing w:val="10"/>
          <w:sz w:val="24"/>
        </w:rPr>
      </w:pPr>
      <w:r>
        <w:rPr>
          <w:rFonts w:hint="eastAsia" w:ascii="宋体" w:hAnsi="宋体"/>
          <w:spacing w:val="10"/>
          <w:sz w:val="24"/>
        </w:rPr>
        <w:t xml:space="preserve">5. 邀标保密要求: </w:t>
      </w:r>
    </w:p>
    <w:p>
      <w:pPr>
        <w:spacing w:line="500" w:lineRule="exact"/>
        <w:ind w:firstLine="520" w:firstLineChars="200"/>
        <w:rPr>
          <w:rFonts w:ascii="宋体" w:hAnsi="宋体"/>
          <w:spacing w:val="10"/>
          <w:sz w:val="24"/>
        </w:rPr>
      </w:pPr>
      <w:r>
        <w:rPr>
          <w:rFonts w:hint="eastAsia" w:ascii="宋体" w:hAnsi="宋体"/>
          <w:spacing w:val="10"/>
          <w:sz w:val="24"/>
        </w:rPr>
        <w:t>5.1自开标之日起到中标通知书发出之日后止，投标单位不得就评标内容向</w:t>
      </w:r>
      <w:r>
        <w:rPr>
          <w:rFonts w:ascii="宋体" w:hAnsi="宋体"/>
          <w:spacing w:val="10"/>
          <w:sz w:val="24"/>
        </w:rPr>
        <w:t>上海交通大学钱学森图书馆</w:t>
      </w:r>
      <w:r>
        <w:rPr>
          <w:rFonts w:hint="eastAsia" w:ascii="宋体" w:hAnsi="宋体"/>
          <w:spacing w:val="10"/>
          <w:sz w:val="24"/>
        </w:rPr>
        <w:t>、评标委员会成员进行询问，被询者亦不得泄露评标有关内容，泄露者将被追究责任。</w:t>
      </w:r>
    </w:p>
    <w:p>
      <w:pPr>
        <w:spacing w:line="500" w:lineRule="exact"/>
        <w:ind w:firstLine="520" w:firstLineChars="200"/>
        <w:rPr>
          <w:rFonts w:ascii="宋体" w:hAnsi="宋体"/>
          <w:spacing w:val="10"/>
          <w:sz w:val="24"/>
        </w:rPr>
      </w:pPr>
      <w:r>
        <w:rPr>
          <w:rFonts w:hint="eastAsia" w:ascii="宋体" w:hAnsi="宋体"/>
          <w:spacing w:val="10"/>
          <w:sz w:val="24"/>
        </w:rPr>
        <w:t>5.2投标单位所进行的力图影响评标结果的不符合相关法律规定的活动，可能导致其被取消中标资格。</w:t>
      </w:r>
    </w:p>
    <w:p>
      <w:pPr>
        <w:spacing w:line="500" w:lineRule="exact"/>
        <w:ind w:firstLine="520" w:firstLineChars="200"/>
        <w:rPr>
          <w:rFonts w:ascii="宋体" w:hAnsi="宋体"/>
          <w:b/>
          <w:spacing w:val="10"/>
          <w:sz w:val="24"/>
        </w:rPr>
      </w:pPr>
      <w:r>
        <w:rPr>
          <w:rFonts w:hint="eastAsia" w:ascii="宋体" w:hAnsi="宋体"/>
          <w:b/>
          <w:spacing w:val="10"/>
          <w:sz w:val="24"/>
        </w:rPr>
        <w:t xml:space="preserve">六、签订经济合同 </w:t>
      </w:r>
    </w:p>
    <w:p>
      <w:pPr>
        <w:spacing w:line="500" w:lineRule="exact"/>
        <w:ind w:firstLine="520" w:firstLineChars="200"/>
        <w:rPr>
          <w:rFonts w:ascii="宋体" w:hAnsi="宋体"/>
          <w:spacing w:val="10"/>
          <w:sz w:val="24"/>
        </w:rPr>
      </w:pPr>
      <w:r>
        <w:rPr>
          <w:rFonts w:hint="eastAsia" w:ascii="宋体" w:hAnsi="宋体"/>
          <w:spacing w:val="10"/>
          <w:sz w:val="24"/>
        </w:rPr>
        <w:t>1. 中标单位应按指定的时间、地点与委托方签订经济合同。</w:t>
      </w:r>
    </w:p>
    <w:p>
      <w:pPr>
        <w:spacing w:line="500" w:lineRule="exact"/>
        <w:ind w:firstLine="520" w:firstLineChars="200"/>
        <w:rPr>
          <w:rFonts w:ascii="宋体" w:hAnsi="宋体"/>
          <w:spacing w:val="10"/>
          <w:sz w:val="24"/>
        </w:rPr>
      </w:pPr>
      <w:r>
        <w:rPr>
          <w:rFonts w:hint="eastAsia" w:ascii="宋体" w:hAnsi="宋体"/>
          <w:spacing w:val="10"/>
          <w:sz w:val="24"/>
        </w:rPr>
        <w:t>2. 邀标文件、投标文件、投标方对投标文件的澄清等，均为签订经济合同之依据。</w:t>
      </w:r>
    </w:p>
    <w:p>
      <w:pPr>
        <w:spacing w:line="500" w:lineRule="exact"/>
        <w:ind w:firstLine="520" w:firstLineChars="200"/>
        <w:rPr>
          <w:rFonts w:ascii="宋体" w:hAnsi="宋体"/>
          <w:b/>
          <w:spacing w:val="10"/>
          <w:sz w:val="24"/>
        </w:rPr>
      </w:pPr>
      <w:r>
        <w:rPr>
          <w:rFonts w:hint="eastAsia" w:ascii="宋体" w:hAnsi="宋体"/>
          <w:b/>
          <w:spacing w:val="10"/>
          <w:sz w:val="24"/>
        </w:rPr>
        <w:t xml:space="preserve">七、其他 </w:t>
      </w:r>
    </w:p>
    <w:p>
      <w:pPr>
        <w:spacing w:line="500" w:lineRule="exact"/>
        <w:ind w:firstLine="520" w:firstLineChars="200"/>
        <w:rPr>
          <w:rFonts w:hint="eastAsia" w:ascii="宋体" w:hAnsi="宋体"/>
          <w:spacing w:val="10"/>
          <w:sz w:val="24"/>
        </w:rPr>
      </w:pPr>
      <w:r>
        <w:rPr>
          <w:rFonts w:hint="eastAsia" w:ascii="宋体" w:hAnsi="宋体"/>
          <w:spacing w:val="10"/>
          <w:sz w:val="24"/>
        </w:rPr>
        <w:t>1. 参加投标活动的各单位必须遵纪守法，严禁不正之风，不得哄抬标价，不得损害国家和他人利益，否则取消其投标资格并追究其法律责任。</w:t>
      </w:r>
      <w:bookmarkStart w:id="6" w:name="_Toc325633809"/>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pStyle w:val="45"/>
        <w:jc w:val="center"/>
        <w:rPr>
          <w:sz w:val="36"/>
          <w:szCs w:val="36"/>
        </w:rPr>
      </w:pPr>
      <w:r>
        <w:rPr>
          <w:rFonts w:hint="eastAsia"/>
          <w:sz w:val="36"/>
          <w:szCs w:val="36"/>
        </w:rPr>
        <w:t>第三部分 设计布展内容与要求</w:t>
      </w:r>
      <w:bookmarkEnd w:id="6"/>
    </w:p>
    <w:p>
      <w:pPr>
        <w:spacing w:line="360" w:lineRule="auto"/>
        <w:ind w:left="1415" w:leftChars="136" w:hanging="1129" w:hangingChars="434"/>
        <w:rPr>
          <w:rFonts w:ascii="宋体" w:hAnsi="宋体"/>
          <w:b/>
          <w:spacing w:val="10"/>
          <w:sz w:val="24"/>
        </w:rPr>
      </w:pPr>
      <w:r>
        <w:rPr>
          <w:rFonts w:hint="eastAsia" w:ascii="宋体" w:hAnsi="宋体"/>
          <w:b/>
          <w:spacing w:val="10"/>
          <w:sz w:val="24"/>
        </w:rPr>
        <w:t>项目背景：</w:t>
      </w:r>
    </w:p>
    <w:p>
      <w:pPr>
        <w:spacing w:line="360" w:lineRule="auto"/>
        <w:ind w:left="1415" w:leftChars="136" w:hanging="1129" w:hangingChars="434"/>
        <w:rPr>
          <w:rFonts w:hint="eastAsia" w:ascii="宋体" w:hAnsi="宋体"/>
          <w:b/>
          <w:spacing w:val="10"/>
          <w:sz w:val="24"/>
        </w:rPr>
      </w:pPr>
      <w:r>
        <w:rPr>
          <w:rFonts w:hint="eastAsia" w:ascii="宋体" w:hAnsi="宋体"/>
          <w:b/>
          <w:spacing w:val="10"/>
          <w:sz w:val="24"/>
        </w:rPr>
        <w:t>郭永怀生平事迹概要</w:t>
      </w:r>
    </w:p>
    <w:p>
      <w:pPr>
        <w:keepNext w:val="0"/>
        <w:keepLines w:val="0"/>
        <w:widowControl/>
        <w:suppressLineNumbers w:val="0"/>
        <w:spacing w:after="300" w:afterAutospacing="0" w:line="240" w:lineRule="auto"/>
        <w:ind w:left="0" w:firstLine="560"/>
        <w:jc w:val="left"/>
        <w:rPr>
          <w:rFonts w:hint="eastAsia" w:ascii="新宋体" w:hAnsi="新宋体" w:eastAsia="新宋体" w:cs="新宋体"/>
          <w:b w:val="0"/>
          <w:i w:val="0"/>
          <w:caps w:val="0"/>
          <w:color w:val="auto"/>
          <w:spacing w:val="0"/>
          <w:kern w:val="0"/>
          <w:sz w:val="24"/>
          <w:szCs w:val="24"/>
          <w:u w:val="none"/>
          <w:lang w:val="en-US" w:eastAsia="zh-CN" w:bidi="ar"/>
        </w:rPr>
      </w:pPr>
      <w:r>
        <w:rPr>
          <w:rFonts w:hint="eastAsia" w:ascii="新宋体" w:hAnsi="新宋体" w:eastAsia="新宋体" w:cs="新宋体"/>
          <w:b w:val="0"/>
          <w:i w:val="0"/>
          <w:caps w:val="0"/>
          <w:color w:val="auto"/>
          <w:spacing w:val="0"/>
          <w:kern w:val="0"/>
          <w:sz w:val="24"/>
          <w:szCs w:val="24"/>
          <w:u w:val="none"/>
          <w:lang w:val="en-US" w:eastAsia="zh-CN" w:bidi="ar"/>
        </w:rPr>
        <w:t>郭永怀（1909年4月4日—1968年12月5日），男，山东省</w:t>
      </w:r>
      <w:r>
        <w:rPr>
          <w:rFonts w:hint="eastAsia" w:ascii="新宋体" w:hAnsi="新宋体" w:eastAsia="新宋体" w:cs="新宋体"/>
          <w:b w:val="0"/>
          <w:i w:val="0"/>
          <w:caps w:val="0"/>
          <w:color w:val="auto"/>
          <w:spacing w:val="0"/>
          <w:kern w:val="0"/>
          <w:sz w:val="24"/>
          <w:szCs w:val="24"/>
          <w:u w:val="none"/>
          <w:lang w:val="en-US" w:eastAsia="zh-CN" w:bidi="ar"/>
        </w:rPr>
        <w:fldChar w:fldCharType="begin"/>
      </w:r>
      <w:r>
        <w:rPr>
          <w:rFonts w:hint="eastAsia" w:ascii="新宋体" w:hAnsi="新宋体" w:eastAsia="新宋体" w:cs="新宋体"/>
          <w:b w:val="0"/>
          <w:i w:val="0"/>
          <w:caps w:val="0"/>
          <w:color w:val="auto"/>
          <w:spacing w:val="0"/>
          <w:kern w:val="0"/>
          <w:sz w:val="24"/>
          <w:szCs w:val="24"/>
          <w:u w:val="none"/>
          <w:lang w:val="en-US" w:eastAsia="zh-CN" w:bidi="ar"/>
        </w:rPr>
        <w:instrText xml:space="preserve"> HYPERLINK "https://baike.baidu.com/item/%E8%8D%A3%E6%88%90/2875013" \t "/Users/wuhaidong/Documents\\x/_blank" </w:instrText>
      </w:r>
      <w:r>
        <w:rPr>
          <w:rFonts w:hint="eastAsia" w:ascii="新宋体" w:hAnsi="新宋体" w:eastAsia="新宋体" w:cs="新宋体"/>
          <w:b w:val="0"/>
          <w:i w:val="0"/>
          <w:caps w:val="0"/>
          <w:color w:val="auto"/>
          <w:spacing w:val="0"/>
          <w:kern w:val="0"/>
          <w:sz w:val="24"/>
          <w:szCs w:val="24"/>
          <w:u w:val="none"/>
          <w:lang w:val="en-US" w:eastAsia="zh-CN" w:bidi="ar"/>
        </w:rPr>
        <w:fldChar w:fldCharType="separate"/>
      </w:r>
      <w:r>
        <w:rPr>
          <w:rStyle w:val="19"/>
          <w:rFonts w:hint="eastAsia" w:ascii="新宋体" w:hAnsi="新宋体" w:eastAsia="新宋体" w:cs="新宋体"/>
          <w:b w:val="0"/>
          <w:i w:val="0"/>
          <w:caps w:val="0"/>
          <w:color w:val="auto"/>
          <w:spacing w:val="0"/>
          <w:sz w:val="24"/>
          <w:szCs w:val="24"/>
          <w:u w:val="none"/>
        </w:rPr>
        <w:t>荣成</w:t>
      </w:r>
      <w:r>
        <w:rPr>
          <w:rFonts w:hint="eastAsia" w:ascii="新宋体" w:hAnsi="新宋体" w:eastAsia="新宋体" w:cs="新宋体"/>
          <w:b w:val="0"/>
          <w:i w:val="0"/>
          <w:caps w:val="0"/>
          <w:color w:val="auto"/>
          <w:spacing w:val="0"/>
          <w:kern w:val="0"/>
          <w:sz w:val="24"/>
          <w:szCs w:val="24"/>
          <w:u w:val="none"/>
          <w:lang w:val="en-US" w:eastAsia="zh-CN" w:bidi="ar"/>
        </w:rPr>
        <w:fldChar w:fldCharType="end"/>
      </w:r>
      <w:r>
        <w:rPr>
          <w:rFonts w:hint="eastAsia" w:ascii="新宋体" w:hAnsi="新宋体" w:eastAsia="新宋体" w:cs="新宋体"/>
          <w:b w:val="0"/>
          <w:i w:val="0"/>
          <w:caps w:val="0"/>
          <w:color w:val="auto"/>
          <w:spacing w:val="0"/>
          <w:kern w:val="0"/>
          <w:sz w:val="24"/>
          <w:szCs w:val="24"/>
          <w:u w:val="none"/>
          <w:lang w:val="en-US" w:eastAsia="zh-CN" w:bidi="ar"/>
        </w:rPr>
        <w:t>市滕家镇人，中共党员，著名力学家、应用数学家、空气动力学家，</w:t>
      </w:r>
      <w:r>
        <w:rPr>
          <w:rFonts w:hint="eastAsia" w:ascii="新宋体" w:hAnsi="新宋体" w:eastAsia="新宋体" w:cs="新宋体"/>
          <w:b w:val="0"/>
          <w:i w:val="0"/>
          <w:caps w:val="0"/>
          <w:color w:val="auto"/>
          <w:spacing w:val="0"/>
          <w:kern w:val="0"/>
          <w:sz w:val="24"/>
          <w:szCs w:val="24"/>
          <w:u w:val="none"/>
          <w:lang w:val="en-US" w:eastAsia="zh-CN" w:bidi="ar"/>
        </w:rPr>
        <w:fldChar w:fldCharType="begin"/>
      </w:r>
      <w:r>
        <w:rPr>
          <w:rFonts w:hint="eastAsia" w:ascii="新宋体" w:hAnsi="新宋体" w:eastAsia="新宋体" w:cs="新宋体"/>
          <w:b w:val="0"/>
          <w:i w:val="0"/>
          <w:caps w:val="0"/>
          <w:color w:val="auto"/>
          <w:spacing w:val="0"/>
          <w:kern w:val="0"/>
          <w:sz w:val="24"/>
          <w:szCs w:val="24"/>
          <w:u w:val="none"/>
          <w:lang w:val="en-US" w:eastAsia="zh-CN" w:bidi="ar"/>
        </w:rPr>
        <w:instrText xml:space="preserve"> HYPERLINK "https://baike.baidu.com/item/%E4%B8%AD%E5%9B%BD%E7%A7%91%E5%AD%A6%E9%99%A2%E5%AD%A6%E9%83%A8%E5%A7%94%E5%91%98" \t "/Users/wuhaidong/Documents\\x/_blank" </w:instrText>
      </w:r>
      <w:r>
        <w:rPr>
          <w:rFonts w:hint="eastAsia" w:ascii="新宋体" w:hAnsi="新宋体" w:eastAsia="新宋体" w:cs="新宋体"/>
          <w:b w:val="0"/>
          <w:i w:val="0"/>
          <w:caps w:val="0"/>
          <w:color w:val="auto"/>
          <w:spacing w:val="0"/>
          <w:kern w:val="0"/>
          <w:sz w:val="24"/>
          <w:szCs w:val="24"/>
          <w:u w:val="none"/>
          <w:lang w:val="en-US" w:eastAsia="zh-CN" w:bidi="ar"/>
        </w:rPr>
        <w:fldChar w:fldCharType="separate"/>
      </w:r>
      <w:r>
        <w:rPr>
          <w:rStyle w:val="19"/>
          <w:rFonts w:hint="eastAsia" w:ascii="新宋体" w:hAnsi="新宋体" w:eastAsia="新宋体" w:cs="新宋体"/>
          <w:b w:val="0"/>
          <w:i w:val="0"/>
          <w:caps w:val="0"/>
          <w:color w:val="auto"/>
          <w:spacing w:val="0"/>
          <w:sz w:val="24"/>
          <w:szCs w:val="24"/>
          <w:u w:val="none"/>
        </w:rPr>
        <w:t>中国科学院学部委员</w:t>
      </w:r>
      <w:r>
        <w:rPr>
          <w:rFonts w:hint="eastAsia" w:ascii="新宋体" w:hAnsi="新宋体" w:eastAsia="新宋体" w:cs="新宋体"/>
          <w:b w:val="0"/>
          <w:i w:val="0"/>
          <w:caps w:val="0"/>
          <w:color w:val="auto"/>
          <w:spacing w:val="0"/>
          <w:kern w:val="0"/>
          <w:sz w:val="24"/>
          <w:szCs w:val="24"/>
          <w:u w:val="none"/>
          <w:lang w:val="en-US" w:eastAsia="zh-CN" w:bidi="ar"/>
        </w:rPr>
        <w:fldChar w:fldCharType="end"/>
      </w:r>
      <w:r>
        <w:rPr>
          <w:rFonts w:hint="eastAsia" w:ascii="新宋体" w:hAnsi="新宋体" w:eastAsia="新宋体" w:cs="新宋体"/>
          <w:b w:val="0"/>
          <w:i w:val="0"/>
          <w:caps w:val="0"/>
          <w:color w:val="auto"/>
          <w:spacing w:val="0"/>
          <w:kern w:val="0"/>
          <w:sz w:val="24"/>
          <w:szCs w:val="24"/>
          <w:u w:val="none"/>
          <w:lang w:val="en-US" w:eastAsia="zh-CN" w:bidi="ar"/>
        </w:rPr>
        <w:t>（即</w:t>
      </w:r>
      <w:r>
        <w:rPr>
          <w:rFonts w:hint="eastAsia" w:ascii="新宋体" w:hAnsi="新宋体" w:eastAsia="新宋体" w:cs="新宋体"/>
          <w:b w:val="0"/>
          <w:i w:val="0"/>
          <w:caps w:val="0"/>
          <w:color w:val="auto"/>
          <w:spacing w:val="0"/>
          <w:kern w:val="0"/>
          <w:sz w:val="24"/>
          <w:szCs w:val="24"/>
          <w:u w:val="none"/>
          <w:lang w:val="en-US" w:eastAsia="zh-CN" w:bidi="ar"/>
        </w:rPr>
        <w:fldChar w:fldCharType="begin"/>
      </w:r>
      <w:r>
        <w:rPr>
          <w:rFonts w:hint="eastAsia" w:ascii="新宋体" w:hAnsi="新宋体" w:eastAsia="新宋体" w:cs="新宋体"/>
          <w:b w:val="0"/>
          <w:i w:val="0"/>
          <w:caps w:val="0"/>
          <w:color w:val="auto"/>
          <w:spacing w:val="0"/>
          <w:kern w:val="0"/>
          <w:sz w:val="24"/>
          <w:szCs w:val="24"/>
          <w:u w:val="none"/>
          <w:lang w:val="en-US" w:eastAsia="zh-CN" w:bidi="ar"/>
        </w:rPr>
        <w:instrText xml:space="preserve"> HYPERLINK "https://baike.baidu.com/item/%E4%B8%AD%E5%9B%BD%E7%A7%91%E5%AD%A6%E9%99%A2%E9%99%A2%E5%A3%AB/327194" \t "/Users/wuhaidong/Documents\\x/_blank" </w:instrText>
      </w:r>
      <w:r>
        <w:rPr>
          <w:rFonts w:hint="eastAsia" w:ascii="新宋体" w:hAnsi="新宋体" w:eastAsia="新宋体" w:cs="新宋体"/>
          <w:b w:val="0"/>
          <w:i w:val="0"/>
          <w:caps w:val="0"/>
          <w:color w:val="auto"/>
          <w:spacing w:val="0"/>
          <w:kern w:val="0"/>
          <w:sz w:val="24"/>
          <w:szCs w:val="24"/>
          <w:u w:val="none"/>
          <w:lang w:val="en-US" w:eastAsia="zh-CN" w:bidi="ar"/>
        </w:rPr>
        <w:fldChar w:fldCharType="separate"/>
      </w:r>
      <w:r>
        <w:rPr>
          <w:rStyle w:val="19"/>
          <w:rFonts w:hint="eastAsia" w:ascii="新宋体" w:hAnsi="新宋体" w:eastAsia="新宋体" w:cs="新宋体"/>
          <w:b w:val="0"/>
          <w:i w:val="0"/>
          <w:caps w:val="0"/>
          <w:color w:val="auto"/>
          <w:spacing w:val="0"/>
          <w:sz w:val="24"/>
          <w:szCs w:val="24"/>
          <w:u w:val="none"/>
        </w:rPr>
        <w:t>中国科学院院士</w:t>
      </w:r>
      <w:r>
        <w:rPr>
          <w:rFonts w:hint="eastAsia" w:ascii="新宋体" w:hAnsi="新宋体" w:eastAsia="新宋体" w:cs="新宋体"/>
          <w:b w:val="0"/>
          <w:i w:val="0"/>
          <w:caps w:val="0"/>
          <w:color w:val="auto"/>
          <w:spacing w:val="0"/>
          <w:kern w:val="0"/>
          <w:sz w:val="24"/>
          <w:szCs w:val="24"/>
          <w:u w:val="none"/>
          <w:lang w:val="en-US" w:eastAsia="zh-CN" w:bidi="ar"/>
        </w:rPr>
        <w:fldChar w:fldCharType="end"/>
      </w:r>
      <w:r>
        <w:rPr>
          <w:rFonts w:hint="eastAsia" w:ascii="新宋体" w:hAnsi="新宋体" w:eastAsia="新宋体" w:cs="新宋体"/>
          <w:b w:val="0"/>
          <w:i w:val="0"/>
          <w:caps w:val="0"/>
          <w:color w:val="auto"/>
          <w:spacing w:val="0"/>
          <w:kern w:val="0"/>
          <w:sz w:val="24"/>
          <w:szCs w:val="24"/>
          <w:u w:val="none"/>
          <w:lang w:val="en-US" w:eastAsia="zh-CN" w:bidi="ar"/>
        </w:rPr>
        <w:t>），</w:t>
      </w:r>
      <w:r>
        <w:rPr>
          <w:rFonts w:hint="eastAsia" w:ascii="新宋体" w:hAnsi="新宋体" w:eastAsia="新宋体" w:cs="新宋体"/>
          <w:b w:val="0"/>
          <w:i w:val="0"/>
          <w:caps w:val="0"/>
          <w:color w:val="auto"/>
          <w:spacing w:val="0"/>
          <w:kern w:val="0"/>
          <w:sz w:val="24"/>
          <w:szCs w:val="24"/>
          <w:u w:val="none"/>
          <w:lang w:val="en-US" w:eastAsia="zh-CN" w:bidi="ar"/>
        </w:rPr>
        <w:fldChar w:fldCharType="begin"/>
      </w:r>
      <w:r>
        <w:rPr>
          <w:rFonts w:hint="eastAsia" w:ascii="新宋体" w:hAnsi="新宋体" w:eastAsia="新宋体" w:cs="新宋体"/>
          <w:b w:val="0"/>
          <w:i w:val="0"/>
          <w:caps w:val="0"/>
          <w:color w:val="auto"/>
          <w:spacing w:val="0"/>
          <w:kern w:val="0"/>
          <w:sz w:val="24"/>
          <w:szCs w:val="24"/>
          <w:u w:val="none"/>
          <w:lang w:val="en-US" w:eastAsia="zh-CN" w:bidi="ar"/>
        </w:rPr>
        <w:instrText xml:space="preserve"> HYPERLINK "https://baike.baidu.com/item/%E4%B8%AD%E5%9B%BD%E7%A7%91%E5%AD%A6%E6%8A%80%E6%9C%AF%E5%A4%A7%E5%AD%A6%E5%8C%96%E5%AD%A6%E7%89%A9%E7%90%86%E7%B3%BB/13982701" \t "/Users/wuhaidong/Documents\\x/_blank" </w:instrText>
      </w:r>
      <w:r>
        <w:rPr>
          <w:rFonts w:hint="eastAsia" w:ascii="新宋体" w:hAnsi="新宋体" w:eastAsia="新宋体" w:cs="新宋体"/>
          <w:b w:val="0"/>
          <w:i w:val="0"/>
          <w:caps w:val="0"/>
          <w:color w:val="auto"/>
          <w:spacing w:val="0"/>
          <w:kern w:val="0"/>
          <w:sz w:val="24"/>
          <w:szCs w:val="24"/>
          <w:u w:val="none"/>
          <w:lang w:val="en-US" w:eastAsia="zh-CN" w:bidi="ar"/>
        </w:rPr>
        <w:fldChar w:fldCharType="separate"/>
      </w:r>
      <w:r>
        <w:rPr>
          <w:rStyle w:val="19"/>
          <w:rFonts w:hint="eastAsia" w:ascii="新宋体" w:hAnsi="新宋体" w:eastAsia="新宋体" w:cs="新宋体"/>
          <w:b w:val="0"/>
          <w:i w:val="0"/>
          <w:caps w:val="0"/>
          <w:color w:val="auto"/>
          <w:spacing w:val="0"/>
          <w:sz w:val="24"/>
          <w:szCs w:val="24"/>
          <w:u w:val="none"/>
        </w:rPr>
        <w:t>中国科学技术大学化学物理系</w:t>
      </w:r>
      <w:r>
        <w:rPr>
          <w:rFonts w:hint="eastAsia" w:ascii="新宋体" w:hAnsi="新宋体" w:eastAsia="新宋体" w:cs="新宋体"/>
          <w:b w:val="0"/>
          <w:i w:val="0"/>
          <w:caps w:val="0"/>
          <w:color w:val="auto"/>
          <w:spacing w:val="0"/>
          <w:kern w:val="0"/>
          <w:sz w:val="24"/>
          <w:szCs w:val="24"/>
          <w:u w:val="none"/>
          <w:lang w:val="en-US" w:eastAsia="zh-CN" w:bidi="ar"/>
        </w:rPr>
        <w:fldChar w:fldCharType="end"/>
      </w:r>
      <w:r>
        <w:rPr>
          <w:rFonts w:hint="eastAsia" w:ascii="新宋体" w:hAnsi="新宋体" w:eastAsia="新宋体" w:cs="新宋体"/>
          <w:b w:val="0"/>
          <w:i w:val="0"/>
          <w:caps w:val="0"/>
          <w:color w:val="auto"/>
          <w:spacing w:val="0"/>
          <w:kern w:val="0"/>
          <w:sz w:val="24"/>
          <w:szCs w:val="24"/>
          <w:u w:val="none"/>
          <w:lang w:val="en-US" w:eastAsia="zh-CN" w:bidi="ar"/>
        </w:rPr>
        <w:t>首任系主任，近代力学事业的奠基人之一。1909年4月4日生于山东荣成。1935年毕业于北京大学物理系。1945年获美国加州理工学院博士学位。1957年被选聘为中国科学院学部委员（院士）</w:t>
      </w:r>
      <w:bookmarkStart w:id="7" w:name="ref_[1]_50842"/>
      <w:r>
        <w:rPr>
          <w:rFonts w:hint="eastAsia" w:ascii="新宋体" w:hAnsi="新宋体" w:eastAsia="新宋体" w:cs="新宋体"/>
          <w:b w:val="0"/>
          <w:i w:val="0"/>
          <w:caps w:val="0"/>
          <w:color w:val="auto"/>
          <w:spacing w:val="0"/>
          <w:kern w:val="0"/>
          <w:sz w:val="24"/>
          <w:szCs w:val="24"/>
          <w:u w:val="none"/>
          <w:lang w:val="en-US" w:eastAsia="zh-CN" w:bidi="ar"/>
        </w:rPr>
        <w:t>。1968年12月5日因飞机失事不幸牺牲，12月25日被追认为烈士。 2018年7月，国际小行星中心已正式向国际社会发布公告，编号为212796号的小行星被永久命名为“郭永怀星”。郭永怀长期从事航空工程研究，发现了上临界马赫数，发展了奇异摄动理论中的变形坐标法，即国际上公认的PLK方法，倡导了中国高速空气动力学、电磁流体力学和爆炸力学等新兴学科的研究。担负国防科学研究的业务领导工作，为发展中国核弹与导弹等事业作出了重要贡献。</w:t>
      </w:r>
      <w:bookmarkEnd w:id="7"/>
    </w:p>
    <w:p>
      <w:pPr>
        <w:keepNext w:val="0"/>
        <w:keepLines w:val="0"/>
        <w:widowControl/>
        <w:suppressLineNumbers w:val="0"/>
        <w:spacing w:after="300" w:afterAutospacing="0" w:line="240" w:lineRule="auto"/>
        <w:ind w:left="0" w:firstLine="56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Hans"/>
        </w:rPr>
        <w:t>钱学森图书馆将引进“郭永怀生平事迹展”</w:t>
      </w:r>
      <w:r>
        <w:rPr>
          <w:rFonts w:hint="eastAsia" w:ascii="新宋体" w:hAnsi="新宋体" w:eastAsia="新宋体" w:cs="新宋体"/>
          <w:sz w:val="24"/>
          <w:szCs w:val="24"/>
          <w:lang w:eastAsia="zh-Hans"/>
        </w:rPr>
        <w:t>，</w:t>
      </w:r>
      <w:r>
        <w:rPr>
          <w:rFonts w:hint="eastAsia" w:ascii="新宋体" w:hAnsi="新宋体" w:eastAsia="新宋体" w:cs="新宋体"/>
          <w:sz w:val="24"/>
          <w:szCs w:val="24"/>
          <w:lang w:val="en-US" w:eastAsia="zh-Hans"/>
        </w:rPr>
        <w:t>需要投标公司根据已有的资料进行展览的设计</w:t>
      </w:r>
      <w:r>
        <w:rPr>
          <w:rFonts w:hint="default" w:ascii="新宋体" w:hAnsi="新宋体" w:eastAsia="新宋体" w:cs="新宋体"/>
          <w:sz w:val="24"/>
          <w:szCs w:val="24"/>
          <w:lang w:eastAsia="zh-Hans"/>
        </w:rPr>
        <w:t>。</w:t>
      </w:r>
      <w:r>
        <w:rPr>
          <w:rFonts w:hint="eastAsia" w:ascii="新宋体" w:hAnsi="新宋体" w:eastAsia="新宋体" w:cs="新宋体"/>
          <w:sz w:val="24"/>
          <w:szCs w:val="24"/>
          <w:lang w:val="en-US" w:eastAsia="zh-Hans"/>
        </w:rPr>
        <w:t>展览暂定</w:t>
      </w:r>
      <w:r>
        <w:rPr>
          <w:rFonts w:hint="eastAsia" w:ascii="新宋体" w:hAnsi="新宋体" w:eastAsia="新宋体" w:cs="新宋体"/>
          <w:sz w:val="24"/>
          <w:szCs w:val="24"/>
          <w:lang w:eastAsia="zh-Hans"/>
        </w:rPr>
        <w:t>7</w:t>
      </w:r>
      <w:r>
        <w:rPr>
          <w:rFonts w:hint="eastAsia" w:ascii="新宋体" w:hAnsi="新宋体" w:eastAsia="新宋体" w:cs="新宋体"/>
          <w:sz w:val="24"/>
          <w:szCs w:val="24"/>
          <w:lang w:val="en-US" w:eastAsia="zh-Hans"/>
        </w:rPr>
        <w:t>月</w:t>
      </w:r>
      <w:r>
        <w:rPr>
          <w:rFonts w:hint="eastAsia" w:ascii="新宋体" w:hAnsi="新宋体" w:eastAsia="新宋体" w:cs="新宋体"/>
          <w:sz w:val="24"/>
          <w:szCs w:val="24"/>
          <w:lang w:eastAsia="zh-Hans"/>
        </w:rPr>
        <w:t>15</w:t>
      </w:r>
      <w:r>
        <w:rPr>
          <w:rFonts w:hint="eastAsia" w:ascii="新宋体" w:hAnsi="新宋体" w:eastAsia="新宋体" w:cs="新宋体"/>
          <w:sz w:val="24"/>
          <w:szCs w:val="24"/>
          <w:lang w:val="en-US" w:eastAsia="zh-Hans"/>
        </w:rPr>
        <w:t>日在钱学森图书馆临展厅开展</w:t>
      </w:r>
      <w:r>
        <w:rPr>
          <w:rFonts w:hint="eastAsia" w:ascii="新宋体" w:hAnsi="新宋体" w:eastAsia="新宋体" w:cs="新宋体"/>
          <w:sz w:val="24"/>
          <w:szCs w:val="24"/>
          <w:lang w:eastAsia="zh-Hans"/>
        </w:rPr>
        <w:t>，7</w:t>
      </w:r>
      <w:r>
        <w:rPr>
          <w:rFonts w:hint="eastAsia" w:ascii="新宋体" w:hAnsi="新宋体" w:eastAsia="新宋体" w:cs="新宋体"/>
          <w:sz w:val="24"/>
          <w:szCs w:val="24"/>
          <w:lang w:val="en-US" w:eastAsia="zh-Hans"/>
        </w:rPr>
        <w:t>月</w:t>
      </w:r>
      <w:r>
        <w:rPr>
          <w:rFonts w:hint="eastAsia" w:ascii="新宋体" w:hAnsi="新宋体" w:eastAsia="新宋体" w:cs="新宋体"/>
          <w:sz w:val="24"/>
          <w:szCs w:val="24"/>
          <w:lang w:eastAsia="zh-Hans"/>
        </w:rPr>
        <w:t>15</w:t>
      </w:r>
      <w:r>
        <w:rPr>
          <w:rFonts w:hint="eastAsia" w:ascii="新宋体" w:hAnsi="新宋体" w:eastAsia="新宋体" w:cs="新宋体"/>
          <w:sz w:val="24"/>
          <w:szCs w:val="24"/>
          <w:lang w:val="en-US" w:eastAsia="zh-Hans"/>
        </w:rPr>
        <w:t>号在序厅举办开幕式</w:t>
      </w:r>
      <w:r>
        <w:rPr>
          <w:rFonts w:hint="default" w:ascii="新宋体" w:hAnsi="新宋体" w:eastAsia="新宋体" w:cs="新宋体"/>
          <w:sz w:val="24"/>
          <w:szCs w:val="24"/>
          <w:lang w:eastAsia="zh-Hans"/>
        </w:rPr>
        <w:t>，</w:t>
      </w:r>
      <w:r>
        <w:rPr>
          <w:rFonts w:hint="eastAsia" w:ascii="新宋体" w:hAnsi="新宋体" w:eastAsia="新宋体" w:cs="新宋体"/>
          <w:sz w:val="24"/>
          <w:szCs w:val="24"/>
          <w:lang w:val="en-US" w:eastAsia="zh-Hans"/>
        </w:rPr>
        <w:t>展期暂定</w:t>
      </w:r>
      <w:r>
        <w:rPr>
          <w:rFonts w:hint="default" w:ascii="新宋体" w:hAnsi="新宋体" w:eastAsia="新宋体" w:cs="新宋体"/>
          <w:sz w:val="24"/>
          <w:szCs w:val="24"/>
          <w:lang w:eastAsia="zh-Hans"/>
        </w:rPr>
        <w:t>3</w:t>
      </w:r>
      <w:r>
        <w:rPr>
          <w:rFonts w:hint="eastAsia" w:ascii="新宋体" w:hAnsi="新宋体" w:eastAsia="新宋体" w:cs="新宋体"/>
          <w:sz w:val="24"/>
          <w:szCs w:val="24"/>
          <w:lang w:val="en-US" w:eastAsia="zh-Hans"/>
        </w:rPr>
        <w:t>个月</w:t>
      </w:r>
      <w:r>
        <w:rPr>
          <w:rFonts w:hint="default" w:ascii="新宋体" w:hAnsi="新宋体" w:eastAsia="新宋体" w:cs="新宋体"/>
          <w:sz w:val="24"/>
          <w:szCs w:val="24"/>
          <w:lang w:eastAsia="zh-Hans"/>
        </w:rPr>
        <w:t>。</w:t>
      </w:r>
    </w:p>
    <w:p>
      <w:pPr>
        <w:spacing w:line="360" w:lineRule="auto"/>
        <w:ind w:left="1415" w:leftChars="136" w:hanging="1129" w:hangingChars="434"/>
        <w:rPr>
          <w:rFonts w:ascii="宋体" w:hAnsi="宋体"/>
          <w:color w:val="000000"/>
          <w:sz w:val="24"/>
        </w:rPr>
      </w:pPr>
      <w:r>
        <w:rPr>
          <w:rFonts w:hint="eastAsia" w:ascii="宋体" w:hAnsi="宋体"/>
          <w:b/>
          <w:spacing w:val="10"/>
          <w:sz w:val="24"/>
        </w:rPr>
        <w:t>设计要求：</w:t>
      </w:r>
    </w:p>
    <w:p>
      <w:pPr>
        <w:pStyle w:val="46"/>
        <w:numPr>
          <w:ilvl w:val="0"/>
          <w:numId w:val="3"/>
        </w:numPr>
        <w:spacing w:line="360" w:lineRule="auto"/>
        <w:ind w:left="851" w:leftChars="270" w:hanging="284" w:hangingChars="109"/>
        <w:rPr>
          <w:rFonts w:ascii="新宋体" w:hAnsi="新宋体" w:eastAsia="新宋体" w:cs="新宋体"/>
          <w:b/>
          <w:spacing w:val="10"/>
          <w:sz w:val="24"/>
          <w:lang w:eastAsia="zh-Hans"/>
        </w:rPr>
      </w:pPr>
      <w:r>
        <w:rPr>
          <w:rFonts w:hint="eastAsia" w:ascii="新宋体" w:hAnsi="新宋体" w:eastAsia="新宋体" w:cs="新宋体"/>
          <w:b/>
          <w:spacing w:val="10"/>
          <w:sz w:val="24"/>
          <w:lang w:val="en-US" w:eastAsia="zh-Hans"/>
        </w:rPr>
        <w:t>展线与平面</w:t>
      </w:r>
      <w:r>
        <w:rPr>
          <w:rFonts w:hint="eastAsia" w:ascii="新宋体" w:hAnsi="新宋体" w:eastAsia="新宋体" w:cs="新宋体"/>
          <w:b/>
          <w:spacing w:val="10"/>
          <w:sz w:val="24"/>
          <w:lang w:eastAsia="zh-Hans"/>
        </w:rPr>
        <w:t>设计要求</w:t>
      </w:r>
    </w:p>
    <w:p>
      <w:pPr>
        <w:pStyle w:val="46"/>
        <w:spacing w:line="360" w:lineRule="auto"/>
        <w:ind w:left="338" w:leftChars="161" w:firstLine="0" w:firstLineChars="0"/>
        <w:rPr>
          <w:rFonts w:hint="eastAsia" w:ascii="新宋体" w:hAnsi="新宋体" w:eastAsia="新宋体" w:cs="新宋体"/>
          <w:bCs/>
          <w:spacing w:val="10"/>
          <w:sz w:val="24"/>
          <w:lang w:eastAsia="zh-Hans"/>
        </w:rPr>
      </w:pPr>
      <w:r>
        <w:rPr>
          <w:rFonts w:hint="eastAsia" w:ascii="新宋体" w:hAnsi="新宋体" w:eastAsia="新宋体" w:cs="新宋体"/>
          <w:bCs/>
          <w:spacing w:val="10"/>
          <w:sz w:val="24"/>
          <w:lang w:eastAsia="zh-Hans"/>
        </w:rPr>
        <w:t>1、</w:t>
      </w:r>
      <w:r>
        <w:rPr>
          <w:rFonts w:hint="eastAsia" w:ascii="新宋体" w:hAnsi="新宋体" w:eastAsia="新宋体" w:cs="新宋体"/>
          <w:bCs/>
          <w:spacing w:val="10"/>
          <w:sz w:val="24"/>
          <w:lang w:val="en-US" w:eastAsia="zh-Hans"/>
        </w:rPr>
        <w:t>根据展厅现有移动板墙设计规划展线</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从观众参观的角度出发</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展线要合理</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入口</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流动</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出口方便观众观看</w:t>
      </w:r>
      <w:r>
        <w:rPr>
          <w:rFonts w:hint="default" w:ascii="新宋体" w:hAnsi="新宋体" w:eastAsia="新宋体" w:cs="新宋体"/>
          <w:bCs/>
          <w:spacing w:val="10"/>
          <w:sz w:val="24"/>
          <w:lang w:eastAsia="zh-Hans"/>
        </w:rPr>
        <w:t>；</w:t>
      </w:r>
    </w:p>
    <w:p>
      <w:pPr>
        <w:pStyle w:val="46"/>
        <w:spacing w:line="360" w:lineRule="auto"/>
        <w:ind w:left="338" w:leftChars="161" w:firstLine="0" w:firstLineChars="0"/>
        <w:rPr>
          <w:rFonts w:ascii="新宋体" w:hAnsi="新宋体" w:eastAsia="新宋体" w:cs="新宋体"/>
          <w:bCs/>
          <w:spacing w:val="10"/>
          <w:sz w:val="24"/>
          <w:lang w:eastAsia="zh-Hans"/>
        </w:rPr>
      </w:pPr>
      <w:r>
        <w:rPr>
          <w:rFonts w:hint="eastAsia" w:ascii="新宋体" w:hAnsi="新宋体" w:eastAsia="新宋体" w:cs="新宋体"/>
          <w:bCs/>
          <w:spacing w:val="10"/>
          <w:sz w:val="24"/>
          <w:lang w:eastAsia="zh-Hans"/>
        </w:rPr>
        <w:t>2、</w:t>
      </w:r>
      <w:r>
        <w:rPr>
          <w:rFonts w:hint="eastAsia" w:ascii="新宋体" w:hAnsi="新宋体" w:eastAsia="新宋体" w:cs="新宋体"/>
          <w:bCs/>
          <w:spacing w:val="10"/>
          <w:sz w:val="24"/>
          <w:lang w:val="en-US" w:eastAsia="zh-Hans"/>
        </w:rPr>
        <w:t>平面</w:t>
      </w:r>
      <w:r>
        <w:rPr>
          <w:rFonts w:hint="eastAsia" w:ascii="新宋体" w:hAnsi="新宋体" w:eastAsia="新宋体" w:cs="新宋体"/>
          <w:bCs/>
          <w:spacing w:val="10"/>
          <w:sz w:val="24"/>
          <w:lang w:eastAsia="zh-Hans"/>
        </w:rPr>
        <w:t>设计风格与主题吻合、色调符合主题表现，图文比例合适</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版面设计高度合适</w:t>
      </w:r>
      <w:r>
        <w:rPr>
          <w:rFonts w:hint="default" w:ascii="新宋体" w:hAnsi="新宋体" w:eastAsia="新宋体" w:cs="新宋体"/>
          <w:bCs/>
          <w:spacing w:val="10"/>
          <w:sz w:val="24"/>
          <w:lang w:eastAsia="zh-Hans"/>
        </w:rPr>
        <w:t>；</w:t>
      </w:r>
    </w:p>
    <w:p>
      <w:pPr>
        <w:pStyle w:val="46"/>
        <w:spacing w:line="360" w:lineRule="auto"/>
        <w:ind w:left="338" w:leftChars="161" w:firstLine="0" w:firstLineChars="0"/>
        <w:rPr>
          <w:rFonts w:ascii="新宋体" w:hAnsi="新宋体" w:eastAsia="新宋体" w:cs="新宋体"/>
          <w:bCs/>
          <w:spacing w:val="10"/>
          <w:sz w:val="24"/>
          <w:lang w:eastAsia="zh-Hans"/>
        </w:rPr>
      </w:pPr>
      <w:r>
        <w:rPr>
          <w:rFonts w:hint="eastAsia" w:ascii="新宋体" w:hAnsi="新宋体" w:eastAsia="新宋体" w:cs="新宋体"/>
          <w:bCs/>
          <w:spacing w:val="10"/>
          <w:sz w:val="24"/>
          <w:lang w:eastAsia="zh-Hans"/>
        </w:rPr>
        <w:t>3、注意版面的主次、</w:t>
      </w:r>
      <w:r>
        <w:rPr>
          <w:rFonts w:hint="eastAsia" w:ascii="新宋体" w:hAnsi="新宋体" w:eastAsia="新宋体" w:cs="新宋体"/>
          <w:bCs/>
          <w:spacing w:val="10"/>
          <w:sz w:val="24"/>
          <w:lang w:val="en-US" w:eastAsia="zh-Hans"/>
        </w:rPr>
        <w:t>单元部分</w:t>
      </w:r>
      <w:r>
        <w:rPr>
          <w:rFonts w:hint="eastAsia" w:ascii="新宋体" w:hAnsi="新宋体" w:eastAsia="新宋体" w:cs="新宋体"/>
          <w:bCs/>
          <w:spacing w:val="10"/>
          <w:sz w:val="24"/>
          <w:lang w:eastAsia="zh-Hans"/>
        </w:rPr>
        <w:t>对比，把握构图节奏感，避免平淡乏味</w:t>
      </w:r>
      <w:r>
        <w:rPr>
          <w:rFonts w:hint="default" w:ascii="新宋体" w:hAnsi="新宋体" w:eastAsia="新宋体" w:cs="新宋体"/>
          <w:bCs/>
          <w:spacing w:val="10"/>
          <w:sz w:val="24"/>
          <w:lang w:eastAsia="zh-Hans"/>
        </w:rPr>
        <w:t>；</w:t>
      </w:r>
    </w:p>
    <w:p>
      <w:pPr>
        <w:pStyle w:val="46"/>
        <w:spacing w:line="360" w:lineRule="auto"/>
        <w:ind w:left="338" w:leftChars="161" w:firstLine="0" w:firstLineChars="0"/>
        <w:rPr>
          <w:rFonts w:ascii="新宋体" w:hAnsi="新宋体" w:eastAsia="新宋体" w:cs="新宋体"/>
          <w:bCs/>
          <w:spacing w:val="10"/>
          <w:sz w:val="24"/>
          <w:lang w:eastAsia="zh-Hans"/>
        </w:rPr>
      </w:pPr>
      <w:r>
        <w:rPr>
          <w:rFonts w:hint="eastAsia" w:ascii="新宋体" w:hAnsi="新宋体" w:eastAsia="新宋体" w:cs="新宋体"/>
          <w:bCs/>
          <w:spacing w:val="10"/>
          <w:sz w:val="24"/>
          <w:lang w:eastAsia="zh-Hans"/>
        </w:rPr>
        <w:t>4、要采用组合手段凸显重点展品和图片</w:t>
      </w:r>
      <w:r>
        <w:rPr>
          <w:rFonts w:hint="default" w:ascii="新宋体" w:hAnsi="新宋体" w:eastAsia="新宋体" w:cs="新宋体"/>
          <w:bCs/>
          <w:spacing w:val="10"/>
          <w:sz w:val="24"/>
          <w:lang w:eastAsia="zh-Hans"/>
        </w:rPr>
        <w:t>；</w:t>
      </w:r>
    </w:p>
    <w:p>
      <w:pPr>
        <w:pStyle w:val="46"/>
        <w:spacing w:line="360" w:lineRule="auto"/>
        <w:ind w:left="338" w:leftChars="161" w:firstLine="0" w:firstLineChars="0"/>
        <w:rPr>
          <w:rFonts w:ascii="新宋体" w:hAnsi="新宋体" w:eastAsia="新宋体" w:cs="新宋体"/>
          <w:bCs/>
          <w:spacing w:val="10"/>
          <w:sz w:val="24"/>
        </w:rPr>
      </w:pPr>
      <w:r>
        <w:rPr>
          <w:rFonts w:hint="default" w:ascii="新宋体" w:hAnsi="新宋体" w:eastAsia="新宋体" w:cs="新宋体"/>
          <w:bCs/>
          <w:spacing w:val="10"/>
          <w:sz w:val="24"/>
          <w:lang w:eastAsia="zh-Hans"/>
        </w:rPr>
        <w:t>5</w:t>
      </w:r>
      <w:r>
        <w:rPr>
          <w:rFonts w:hint="eastAsia" w:ascii="新宋体" w:hAnsi="新宋体" w:eastAsia="新宋体" w:cs="新宋体"/>
          <w:bCs/>
          <w:spacing w:val="10"/>
          <w:sz w:val="24"/>
          <w:lang w:eastAsia="zh-Hans"/>
        </w:rPr>
        <w:t>、要求形式服从内容，注意灯光、版面、互动、艺术装置等辅助手段对主题的烘托作用。</w:t>
      </w:r>
    </w:p>
    <w:p>
      <w:pPr>
        <w:pStyle w:val="46"/>
        <w:numPr>
          <w:ilvl w:val="0"/>
          <w:numId w:val="3"/>
        </w:numPr>
        <w:spacing w:line="360" w:lineRule="auto"/>
        <w:ind w:left="829" w:leftChars="270" w:hanging="262" w:hangingChars="109"/>
        <w:rPr>
          <w:rFonts w:ascii="宋体" w:hAnsi="宋体"/>
          <w:bCs/>
          <w:spacing w:val="10"/>
          <w:sz w:val="24"/>
        </w:rPr>
      </w:pPr>
      <w:r>
        <w:rPr>
          <w:rFonts w:hint="eastAsia" w:ascii="Helvetica Neue" w:hAnsi="Helvetica Neue" w:cs="Helvetica Neue"/>
          <w:b/>
          <w:bCs/>
          <w:kern w:val="0"/>
          <w:sz w:val="24"/>
        </w:rPr>
        <w:t>重点体现：</w:t>
      </w:r>
      <w:r>
        <w:rPr>
          <w:rFonts w:hint="eastAsia" w:ascii="Helvetica Neue" w:hAnsi="Helvetica Neue" w:cs="Helvetica Neue"/>
          <w:kern w:val="0"/>
          <w:sz w:val="24"/>
          <w:lang w:val="en-US" w:eastAsia="zh-Hans"/>
        </w:rPr>
        <w:t>展厅需要设计一件郭永怀和钱学森有关的艺术装置</w:t>
      </w:r>
      <w:r>
        <w:rPr>
          <w:rFonts w:hint="default" w:ascii="Helvetica Neue" w:hAnsi="Helvetica Neue" w:cs="Helvetica Neue"/>
          <w:kern w:val="0"/>
          <w:sz w:val="24"/>
          <w:lang w:eastAsia="zh-Hans"/>
        </w:rPr>
        <w:t>，</w:t>
      </w:r>
      <w:r>
        <w:rPr>
          <w:rFonts w:hint="eastAsia" w:ascii="Helvetica Neue" w:hAnsi="Helvetica Neue" w:cs="Helvetica Neue"/>
          <w:kern w:val="0"/>
          <w:sz w:val="24"/>
          <w:lang w:val="en-US" w:eastAsia="zh-Hans"/>
        </w:rPr>
        <w:t>该作品需从围绕钱老和郭永怀的书信、还有他们共同为国防科技做出的贡献来设计。放弃美国优厚待遇回国、设计风洞规划、从事两弹一星研究、创建中国科技大学是他们俩共通的地方。</w:t>
      </w:r>
    </w:p>
    <w:p>
      <w:pPr>
        <w:pStyle w:val="46"/>
        <w:numPr>
          <w:ilvl w:val="0"/>
          <w:numId w:val="3"/>
        </w:numPr>
        <w:spacing w:line="360" w:lineRule="auto"/>
        <w:ind w:left="829" w:leftChars="270" w:hanging="262" w:hangingChars="109"/>
        <w:rPr>
          <w:rFonts w:ascii="宋体" w:hAnsi="宋体"/>
          <w:bCs/>
          <w:spacing w:val="10"/>
          <w:sz w:val="24"/>
        </w:rPr>
      </w:pPr>
      <w:r>
        <w:rPr>
          <w:rFonts w:hint="eastAsia" w:ascii="Helvetica Neue" w:hAnsi="Helvetica Neue" w:cs="Helvetica Neue"/>
          <w:b/>
          <w:bCs/>
          <w:kern w:val="0"/>
          <w:sz w:val="24"/>
        </w:rPr>
        <w:t>场景设计：</w:t>
      </w:r>
      <w:r>
        <w:rPr>
          <w:rFonts w:hint="eastAsia" w:ascii="Helvetica Neue" w:hAnsi="Helvetica Neue" w:cs="Helvetica Neue"/>
          <w:kern w:val="0"/>
          <w:sz w:val="24"/>
        </w:rPr>
        <w:t>展览中具体的</w:t>
      </w:r>
      <w:r>
        <w:rPr>
          <w:rFonts w:hint="eastAsia" w:ascii="Helvetica Neue" w:hAnsi="Helvetica Neue" w:cs="Helvetica Neue"/>
          <w:kern w:val="0"/>
          <w:sz w:val="24"/>
          <w:lang w:eastAsia="zh-Hans"/>
        </w:rPr>
        <w:t>实物</w:t>
      </w:r>
      <w:r>
        <w:rPr>
          <w:rFonts w:hint="eastAsia" w:ascii="Helvetica Neue" w:hAnsi="Helvetica Neue" w:cs="Helvetica Neue"/>
          <w:kern w:val="0"/>
          <w:sz w:val="24"/>
        </w:rPr>
        <w:t>较以</w:t>
      </w:r>
      <w:r>
        <w:rPr>
          <w:rFonts w:hint="eastAsia" w:ascii="Helvetica Neue" w:hAnsi="Helvetica Neue" w:cs="Helvetica Neue"/>
          <w:kern w:val="0"/>
          <w:sz w:val="24"/>
          <w:lang w:val="en-US" w:eastAsia="zh-Hans"/>
        </w:rPr>
        <w:t>往展览较少</w:t>
      </w:r>
      <w:r>
        <w:rPr>
          <w:rFonts w:hint="default" w:ascii="Helvetica Neue" w:hAnsi="Helvetica Neue" w:cs="Helvetica Neue"/>
          <w:kern w:val="0"/>
          <w:sz w:val="24"/>
          <w:lang w:eastAsia="zh-Hans"/>
        </w:rPr>
        <w:t>，</w:t>
      </w:r>
      <w:r>
        <w:rPr>
          <w:rFonts w:hint="eastAsia" w:ascii="Helvetica Neue" w:hAnsi="Helvetica Neue" w:cs="Helvetica Neue"/>
          <w:kern w:val="0"/>
          <w:sz w:val="24"/>
          <w:lang w:val="en-US" w:eastAsia="zh-Hans"/>
        </w:rPr>
        <w:t>版面需根据现有移动板墙设计</w:t>
      </w:r>
      <w:r>
        <w:rPr>
          <w:rFonts w:hint="default" w:ascii="Helvetica Neue" w:hAnsi="Helvetica Neue" w:cs="Helvetica Neue"/>
          <w:kern w:val="0"/>
          <w:sz w:val="24"/>
          <w:lang w:eastAsia="zh-Hans"/>
        </w:rPr>
        <w:t>，</w:t>
      </w:r>
      <w:r>
        <w:rPr>
          <w:rFonts w:hint="eastAsia" w:ascii="Helvetica Neue" w:hAnsi="Helvetica Neue" w:cs="Helvetica Neue"/>
          <w:kern w:val="0"/>
          <w:sz w:val="24"/>
          <w:lang w:val="en-US" w:eastAsia="zh-Hans"/>
        </w:rPr>
        <w:t>应注意版面与艺术装置在展厅空间中融合性</w:t>
      </w:r>
      <w:r>
        <w:rPr>
          <w:rFonts w:hint="default" w:ascii="Helvetica Neue" w:hAnsi="Helvetica Neue" w:cs="Helvetica Neue"/>
          <w:kern w:val="0"/>
          <w:sz w:val="24"/>
          <w:lang w:eastAsia="zh-Hans"/>
        </w:rPr>
        <w:t>，</w:t>
      </w:r>
      <w:r>
        <w:rPr>
          <w:rFonts w:hint="eastAsia" w:ascii="Helvetica Neue" w:hAnsi="Helvetica Neue" w:cs="Helvetica Neue"/>
          <w:kern w:val="0"/>
          <w:sz w:val="24"/>
          <w:lang w:val="en-US" w:eastAsia="zh-Hans"/>
        </w:rPr>
        <w:t>避免单一场景设计</w:t>
      </w:r>
      <w:r>
        <w:rPr>
          <w:rFonts w:hint="default" w:ascii="Helvetica Neue" w:hAnsi="Helvetica Neue" w:cs="Helvetica Neue"/>
          <w:kern w:val="0"/>
          <w:sz w:val="24"/>
          <w:lang w:eastAsia="zh-Hans"/>
        </w:rPr>
        <w:t>。</w:t>
      </w:r>
    </w:p>
    <w:p>
      <w:pPr>
        <w:pStyle w:val="46"/>
        <w:numPr>
          <w:ilvl w:val="0"/>
          <w:numId w:val="3"/>
        </w:numPr>
        <w:spacing w:line="360" w:lineRule="auto"/>
        <w:ind w:left="829" w:leftChars="270" w:hanging="262" w:hangingChars="109"/>
        <w:rPr>
          <w:rFonts w:ascii="宋体" w:hAnsi="宋体"/>
          <w:bCs/>
          <w:spacing w:val="10"/>
          <w:sz w:val="24"/>
        </w:rPr>
      </w:pPr>
      <w:r>
        <w:rPr>
          <w:rFonts w:hint="eastAsia" w:ascii="Helvetica Neue" w:hAnsi="Helvetica Neue" w:cs="Helvetica Neue"/>
          <w:b/>
          <w:bCs/>
          <w:kern w:val="0"/>
          <w:sz w:val="24"/>
        </w:rPr>
        <w:t>展览物料：</w:t>
      </w:r>
      <w:r>
        <w:rPr>
          <w:rFonts w:hint="eastAsia" w:ascii="Helvetica Neue" w:hAnsi="Helvetica Neue" w:cs="Helvetica Neue"/>
          <w:kern w:val="0"/>
          <w:sz w:val="24"/>
        </w:rPr>
        <w:t>展览中所用的折页或单页、海报的设计需要在投标文件中体现，要求设计精巧有趣，精致耐看，成本性价比高。</w:t>
      </w:r>
    </w:p>
    <w:p>
      <w:pPr>
        <w:pStyle w:val="46"/>
        <w:numPr>
          <w:ilvl w:val="0"/>
          <w:numId w:val="3"/>
        </w:numPr>
        <w:spacing w:line="360" w:lineRule="auto"/>
        <w:ind w:left="829" w:leftChars="270" w:hanging="262" w:hangingChars="109"/>
        <w:rPr>
          <w:rFonts w:ascii="宋体" w:hAnsi="宋体"/>
          <w:spacing w:val="10"/>
          <w:sz w:val="24"/>
        </w:rPr>
      </w:pPr>
      <w:r>
        <w:rPr>
          <w:rFonts w:hint="eastAsia" w:ascii="Helvetica Neue" w:hAnsi="Helvetica Neue" w:cs="Helvetica Neue"/>
          <w:b/>
          <w:bCs/>
          <w:kern w:val="0"/>
          <w:sz w:val="24"/>
        </w:rPr>
        <w:t>招标指导价格：</w:t>
      </w:r>
      <w:r>
        <w:rPr>
          <w:rFonts w:hint="eastAsia" w:ascii="Helvetica Neue" w:hAnsi="Helvetica Neue" w:cs="Helvetica Neue"/>
          <w:kern w:val="0"/>
          <w:sz w:val="24"/>
        </w:rPr>
        <w:t>招标指导价格严格意义来说不超过</w:t>
      </w:r>
      <w:r>
        <w:rPr>
          <w:rFonts w:ascii="Helvetica Neue" w:hAnsi="Helvetica Neue" w:cs="Helvetica Neue"/>
          <w:kern w:val="0"/>
          <w:sz w:val="24"/>
        </w:rPr>
        <w:t>15</w:t>
      </w:r>
      <w:r>
        <w:rPr>
          <w:rFonts w:hint="eastAsia" w:ascii="Helvetica Neue" w:hAnsi="Helvetica Neue" w:cs="Helvetica Neue"/>
          <w:kern w:val="0"/>
          <w:sz w:val="24"/>
        </w:rPr>
        <w:t>万元人民币，其中包含：1</w:t>
      </w:r>
      <w:r>
        <w:rPr>
          <w:rFonts w:ascii="Helvetica Neue" w:hAnsi="Helvetica Neue" w:cs="Helvetica Neue"/>
          <w:kern w:val="0"/>
          <w:sz w:val="24"/>
        </w:rPr>
        <w:t>.</w:t>
      </w:r>
      <w:r>
        <w:rPr>
          <w:rFonts w:hint="eastAsia" w:ascii="Helvetica Neue" w:hAnsi="Helvetica Neue" w:cs="Helvetica Neue"/>
          <w:kern w:val="0"/>
          <w:sz w:val="24"/>
        </w:rPr>
        <w:t>展览设计制作费；2</w:t>
      </w:r>
      <w:r>
        <w:rPr>
          <w:rFonts w:ascii="Helvetica Neue" w:hAnsi="Helvetica Neue" w:cs="Helvetica Neue"/>
          <w:kern w:val="0"/>
          <w:sz w:val="24"/>
        </w:rPr>
        <w:t>.</w:t>
      </w:r>
      <w:r>
        <w:rPr>
          <w:rFonts w:hint="eastAsia" w:ascii="Helvetica Neue" w:hAnsi="Helvetica Neue" w:cs="Helvetica Neue"/>
          <w:kern w:val="0"/>
          <w:sz w:val="24"/>
        </w:rPr>
        <w:t>物料设计制作费；3</w:t>
      </w:r>
      <w:r>
        <w:rPr>
          <w:rFonts w:ascii="Helvetica Neue" w:hAnsi="Helvetica Neue" w:cs="Helvetica Neue"/>
          <w:kern w:val="0"/>
          <w:sz w:val="24"/>
        </w:rPr>
        <w:t>.</w:t>
      </w:r>
      <w:r>
        <w:rPr>
          <w:rFonts w:hint="eastAsia" w:ascii="Helvetica Neue" w:hAnsi="Helvetica Neue" w:cs="Helvetica Neue"/>
          <w:kern w:val="0"/>
          <w:sz w:val="24"/>
          <w:lang w:eastAsia="zh-Hans"/>
        </w:rPr>
        <w:t>开幕式背景板制作设计</w:t>
      </w:r>
      <w:r>
        <w:rPr>
          <w:rFonts w:hint="eastAsia" w:ascii="Helvetica Neue" w:hAnsi="Helvetica Neue" w:cs="Helvetica Neue"/>
          <w:kern w:val="0"/>
          <w:sz w:val="24"/>
        </w:rPr>
        <w:t>费</w:t>
      </w:r>
      <w:r>
        <w:rPr>
          <w:rFonts w:hint="default" w:ascii="Helvetica Neue" w:hAnsi="Helvetica Neue" w:cs="Helvetica Neue"/>
          <w:kern w:val="0"/>
          <w:sz w:val="24"/>
        </w:rPr>
        <w:t>；4、</w:t>
      </w:r>
      <w:r>
        <w:rPr>
          <w:rFonts w:hint="eastAsia" w:ascii="Helvetica Neue" w:hAnsi="Helvetica Neue" w:cs="Helvetica Neue"/>
          <w:kern w:val="0"/>
          <w:sz w:val="24"/>
          <w:lang w:val="en-US" w:eastAsia="zh-Hans"/>
        </w:rPr>
        <w:t>撤展费用</w:t>
      </w:r>
      <w:r>
        <w:rPr>
          <w:rFonts w:hint="default" w:ascii="Helvetica Neue" w:hAnsi="Helvetica Neue" w:cs="Helvetica Neue"/>
          <w:kern w:val="0"/>
          <w:sz w:val="24"/>
          <w:lang w:eastAsia="zh-Hans"/>
        </w:rPr>
        <w:t>。</w:t>
      </w:r>
    </w:p>
    <w:p>
      <w:pPr>
        <w:spacing w:line="360" w:lineRule="auto"/>
        <w:ind w:left="7" w:firstLine="684" w:firstLineChars="263"/>
        <w:rPr>
          <w:rFonts w:ascii="宋体" w:hAnsi="宋体"/>
          <w:b/>
          <w:spacing w:val="10"/>
          <w:sz w:val="24"/>
        </w:rPr>
      </w:pPr>
      <w:r>
        <w:rPr>
          <w:rFonts w:hint="eastAsia" w:ascii="宋体" w:hAnsi="宋体"/>
          <w:b/>
          <w:spacing w:val="10"/>
          <w:sz w:val="24"/>
        </w:rPr>
        <w:t>四、项目完成时间及提供设计素材</w:t>
      </w:r>
    </w:p>
    <w:p>
      <w:pPr>
        <w:spacing w:line="360" w:lineRule="auto"/>
        <w:ind w:left="7" w:firstLine="631" w:firstLineChars="263"/>
        <w:rPr>
          <w:sz w:val="24"/>
        </w:rPr>
      </w:pPr>
      <w:r>
        <w:rPr>
          <w:rFonts w:hint="eastAsia"/>
          <w:sz w:val="24"/>
        </w:rPr>
        <w:t>1. 项目完成时间：中标单位产生后，20</w:t>
      </w:r>
      <w:r>
        <w:rPr>
          <w:sz w:val="24"/>
        </w:rPr>
        <w:t>21</w:t>
      </w:r>
      <w:r>
        <w:rPr>
          <w:rFonts w:hint="eastAsia"/>
          <w:sz w:val="24"/>
        </w:rPr>
        <w:t>年</w:t>
      </w:r>
      <w:r>
        <w:rPr>
          <w:sz w:val="24"/>
        </w:rPr>
        <w:t>7</w:t>
      </w:r>
      <w:r>
        <w:rPr>
          <w:rFonts w:hint="eastAsia"/>
          <w:sz w:val="24"/>
        </w:rPr>
        <w:t>月</w:t>
      </w:r>
      <w:r>
        <w:rPr>
          <w:sz w:val="24"/>
        </w:rPr>
        <w:t>14</w:t>
      </w:r>
      <w:r>
        <w:rPr>
          <w:rFonts w:hint="eastAsia"/>
          <w:sz w:val="24"/>
        </w:rPr>
        <w:t>日完成工程。</w:t>
      </w:r>
      <w:r>
        <w:rPr>
          <w:sz w:val="24"/>
        </w:rPr>
        <w:t>（</w:t>
      </w:r>
      <w:r>
        <w:rPr>
          <w:rFonts w:hint="eastAsia"/>
          <w:sz w:val="24"/>
          <w:lang w:eastAsia="zh-Hans"/>
        </w:rPr>
        <w:t>暂定</w:t>
      </w:r>
      <w:r>
        <w:rPr>
          <w:sz w:val="24"/>
        </w:rPr>
        <w:t>）</w:t>
      </w:r>
    </w:p>
    <w:p>
      <w:pPr>
        <w:spacing w:line="360" w:lineRule="auto"/>
        <w:ind w:left="7" w:firstLine="631" w:firstLineChars="263"/>
        <w:rPr>
          <w:sz w:val="24"/>
        </w:rPr>
      </w:pPr>
      <w:r>
        <w:rPr>
          <w:rFonts w:hint="eastAsia"/>
          <w:sz w:val="24"/>
        </w:rPr>
        <w:t>2. 提供设计素材</w:t>
      </w:r>
    </w:p>
    <w:p>
      <w:pPr>
        <w:spacing w:line="360" w:lineRule="auto"/>
        <w:ind w:left="7" w:firstLine="631" w:firstLineChars="263"/>
        <w:rPr>
          <w:sz w:val="24"/>
        </w:rPr>
      </w:pPr>
      <w:r>
        <w:rPr>
          <w:rFonts w:hint="eastAsia"/>
          <w:sz w:val="24"/>
        </w:rPr>
        <w:t>2.1 附件一：展厅平面图、立面图</w:t>
      </w:r>
    </w:p>
    <w:p>
      <w:pPr>
        <w:spacing w:line="360" w:lineRule="auto"/>
        <w:ind w:left="7" w:firstLine="631" w:firstLineChars="263"/>
        <w:rPr>
          <w:sz w:val="24"/>
        </w:rPr>
      </w:pPr>
      <w:r>
        <w:rPr>
          <w:rFonts w:hint="eastAsia"/>
          <w:sz w:val="24"/>
        </w:rPr>
        <w:t>2.2 附件二：展览文字大纲（含缩微展品参考图片）</w:t>
      </w:r>
    </w:p>
    <w:p>
      <w:pPr>
        <w:spacing w:line="360" w:lineRule="auto"/>
        <w:ind w:left="7" w:firstLine="631" w:firstLineChars="263"/>
        <w:rPr>
          <w:sz w:val="24"/>
        </w:rPr>
      </w:pPr>
      <w:r>
        <w:rPr>
          <w:rFonts w:hint="eastAsia"/>
          <w:sz w:val="24"/>
        </w:rPr>
        <w:t>2.3 附件三：重点、亮点展项的专题资料（图片、文摘、视频、实物展品图及尺寸等）</w:t>
      </w:r>
    </w:p>
    <w:p>
      <w:pPr>
        <w:spacing w:line="360" w:lineRule="auto"/>
        <w:ind w:left="7" w:firstLine="632" w:firstLineChars="263"/>
        <w:rPr>
          <w:sz w:val="24"/>
        </w:rPr>
      </w:pPr>
      <w:r>
        <w:rPr>
          <w:rFonts w:hint="eastAsia"/>
          <w:b/>
          <w:sz w:val="24"/>
        </w:rPr>
        <w:t>五、项目相关信息</w:t>
      </w:r>
    </w:p>
    <w:p>
      <w:pPr>
        <w:spacing w:line="360" w:lineRule="auto"/>
        <w:ind w:left="7" w:firstLine="631" w:firstLineChars="263"/>
        <w:rPr>
          <w:sz w:val="24"/>
        </w:rPr>
      </w:pPr>
      <w:r>
        <w:rPr>
          <w:rFonts w:hint="eastAsia"/>
          <w:sz w:val="24"/>
        </w:rPr>
        <w:t>1、展览主办及承办单位：上海交通大学钱学森图书馆</w:t>
      </w:r>
    </w:p>
    <w:p>
      <w:pPr>
        <w:spacing w:line="360" w:lineRule="auto"/>
        <w:ind w:left="7" w:firstLine="631" w:firstLineChars="263"/>
        <w:rPr>
          <w:sz w:val="24"/>
        </w:rPr>
      </w:pPr>
      <w:r>
        <w:rPr>
          <w:rFonts w:hint="eastAsia"/>
          <w:sz w:val="24"/>
        </w:rPr>
        <w:t>2、展览时间</w:t>
      </w:r>
      <w:r>
        <w:rPr>
          <w:sz w:val="24"/>
        </w:rPr>
        <w:t>（</w:t>
      </w:r>
      <w:r>
        <w:rPr>
          <w:rFonts w:hint="eastAsia"/>
          <w:sz w:val="24"/>
          <w:lang w:eastAsia="zh-Hans"/>
        </w:rPr>
        <w:t>暂定</w:t>
      </w:r>
      <w:r>
        <w:rPr>
          <w:sz w:val="24"/>
        </w:rPr>
        <w:t>）</w:t>
      </w:r>
    </w:p>
    <w:p>
      <w:pPr>
        <w:spacing w:line="360" w:lineRule="auto"/>
        <w:ind w:left="7" w:firstLine="631" w:firstLineChars="263"/>
        <w:rPr>
          <w:sz w:val="24"/>
        </w:rPr>
      </w:pPr>
      <w:r>
        <w:rPr>
          <w:rFonts w:hint="eastAsia"/>
          <w:sz w:val="24"/>
        </w:rPr>
        <w:t xml:space="preserve">    展览展出时间为20</w:t>
      </w:r>
      <w:r>
        <w:rPr>
          <w:sz w:val="24"/>
        </w:rPr>
        <w:t>21</w:t>
      </w:r>
      <w:r>
        <w:rPr>
          <w:rFonts w:hint="eastAsia"/>
          <w:sz w:val="24"/>
        </w:rPr>
        <w:t>年</w:t>
      </w:r>
      <w:r>
        <w:rPr>
          <w:sz w:val="24"/>
        </w:rPr>
        <w:t>7</w:t>
      </w:r>
      <w:r>
        <w:rPr>
          <w:rFonts w:hint="eastAsia"/>
          <w:sz w:val="24"/>
        </w:rPr>
        <w:t>月</w:t>
      </w:r>
      <w:r>
        <w:rPr>
          <w:sz w:val="24"/>
        </w:rPr>
        <w:t>15</w:t>
      </w:r>
      <w:r>
        <w:rPr>
          <w:rFonts w:hint="eastAsia"/>
          <w:sz w:val="24"/>
        </w:rPr>
        <w:t>日—20</w:t>
      </w:r>
      <w:r>
        <w:rPr>
          <w:sz w:val="24"/>
        </w:rPr>
        <w:t>21</w:t>
      </w:r>
      <w:r>
        <w:rPr>
          <w:rFonts w:hint="eastAsia"/>
          <w:sz w:val="24"/>
        </w:rPr>
        <w:t>年</w:t>
      </w:r>
      <w:r>
        <w:rPr>
          <w:sz w:val="24"/>
        </w:rPr>
        <w:t>10</w:t>
      </w:r>
      <w:r>
        <w:rPr>
          <w:rFonts w:hint="eastAsia"/>
          <w:sz w:val="24"/>
        </w:rPr>
        <w:t>月</w:t>
      </w:r>
      <w:r>
        <w:rPr>
          <w:sz w:val="24"/>
        </w:rPr>
        <w:t>15</w:t>
      </w:r>
      <w:r>
        <w:rPr>
          <w:rFonts w:hint="eastAsia"/>
          <w:sz w:val="24"/>
        </w:rPr>
        <w:t>日</w:t>
      </w:r>
    </w:p>
    <w:p>
      <w:pPr>
        <w:spacing w:line="360" w:lineRule="auto"/>
        <w:ind w:left="7" w:firstLine="631" w:firstLineChars="263"/>
        <w:rPr>
          <w:sz w:val="24"/>
        </w:rPr>
      </w:pPr>
      <w:r>
        <w:rPr>
          <w:rFonts w:hint="eastAsia"/>
          <w:sz w:val="24"/>
        </w:rPr>
        <w:t xml:space="preserve">    其中展览布展时间为20</w:t>
      </w:r>
      <w:r>
        <w:rPr>
          <w:sz w:val="24"/>
        </w:rPr>
        <w:t>21</w:t>
      </w:r>
      <w:r>
        <w:rPr>
          <w:rFonts w:hint="eastAsia"/>
          <w:sz w:val="24"/>
        </w:rPr>
        <w:t>年</w:t>
      </w:r>
      <w:r>
        <w:rPr>
          <w:sz w:val="24"/>
        </w:rPr>
        <w:t>7</w:t>
      </w:r>
      <w:r>
        <w:rPr>
          <w:rFonts w:hint="eastAsia"/>
          <w:sz w:val="24"/>
        </w:rPr>
        <w:t>月</w:t>
      </w:r>
      <w:r>
        <w:rPr>
          <w:sz w:val="24"/>
        </w:rPr>
        <w:t>2</w:t>
      </w:r>
      <w:r>
        <w:rPr>
          <w:rFonts w:hint="eastAsia"/>
          <w:sz w:val="24"/>
        </w:rPr>
        <w:t>日—</w:t>
      </w:r>
      <w:r>
        <w:rPr>
          <w:sz w:val="24"/>
        </w:rPr>
        <w:t>7</w:t>
      </w:r>
      <w:r>
        <w:rPr>
          <w:rFonts w:hint="eastAsia"/>
          <w:sz w:val="24"/>
        </w:rPr>
        <w:t>月</w:t>
      </w:r>
      <w:r>
        <w:rPr>
          <w:sz w:val="24"/>
        </w:rPr>
        <w:t>14</w:t>
      </w:r>
      <w:r>
        <w:rPr>
          <w:rFonts w:hint="eastAsia"/>
          <w:sz w:val="24"/>
        </w:rPr>
        <w:t>日</w:t>
      </w:r>
    </w:p>
    <w:p>
      <w:pPr>
        <w:spacing w:line="360" w:lineRule="auto"/>
        <w:ind w:left="7" w:firstLine="631" w:firstLineChars="263"/>
        <w:rPr>
          <w:sz w:val="24"/>
        </w:rPr>
      </w:pPr>
      <w:r>
        <w:rPr>
          <w:rFonts w:hint="eastAsia"/>
          <w:sz w:val="24"/>
        </w:rPr>
        <w:t xml:space="preserve">    撤展时间为20</w:t>
      </w:r>
      <w:r>
        <w:rPr>
          <w:sz w:val="24"/>
        </w:rPr>
        <w:t>21</w:t>
      </w:r>
      <w:r>
        <w:rPr>
          <w:rFonts w:hint="eastAsia"/>
          <w:sz w:val="24"/>
        </w:rPr>
        <w:t>年</w:t>
      </w:r>
      <w:r>
        <w:rPr>
          <w:sz w:val="24"/>
        </w:rPr>
        <w:t>10</w:t>
      </w:r>
      <w:r>
        <w:rPr>
          <w:rFonts w:hint="eastAsia"/>
          <w:sz w:val="24"/>
        </w:rPr>
        <w:t>月1</w:t>
      </w:r>
      <w:r>
        <w:rPr>
          <w:sz w:val="24"/>
        </w:rPr>
        <w:t>6</w:t>
      </w:r>
      <w:r>
        <w:rPr>
          <w:rFonts w:hint="eastAsia"/>
          <w:sz w:val="24"/>
        </w:rPr>
        <w:t>日</w:t>
      </w:r>
    </w:p>
    <w:p>
      <w:pPr>
        <w:rPr>
          <w:sz w:val="36"/>
          <w:szCs w:val="36"/>
        </w:rPr>
      </w:pPr>
      <w:bookmarkStart w:id="8" w:name="_Toc325633810"/>
      <w:bookmarkStart w:id="9" w:name="_GoBack"/>
      <w:bookmarkEnd w:id="9"/>
    </w:p>
    <w:p>
      <w:pPr>
        <w:rPr>
          <w:sz w:val="36"/>
          <w:szCs w:val="36"/>
        </w:rPr>
      </w:pPr>
    </w:p>
    <w:p>
      <w:pPr>
        <w:pStyle w:val="45"/>
        <w:jc w:val="center"/>
        <w:rPr>
          <w:sz w:val="36"/>
          <w:szCs w:val="36"/>
        </w:rPr>
      </w:pPr>
      <w:r>
        <w:rPr>
          <w:rFonts w:hint="eastAsia"/>
          <w:sz w:val="36"/>
          <w:szCs w:val="36"/>
        </w:rPr>
        <w:t>第四部分 评标办法</w:t>
      </w:r>
      <w:bookmarkEnd w:id="8"/>
    </w:p>
    <w:p>
      <w:pPr>
        <w:pStyle w:val="16"/>
        <w:spacing w:before="0" w:beforeAutospacing="0" w:after="0" w:afterAutospacing="0" w:line="440" w:lineRule="exact"/>
        <w:ind w:firstLine="480" w:firstLineChars="200"/>
        <w:jc w:val="both"/>
        <w:rPr>
          <w:bCs/>
        </w:rPr>
      </w:pPr>
    </w:p>
    <w:p>
      <w:pPr>
        <w:pStyle w:val="16"/>
        <w:spacing w:before="0" w:beforeAutospacing="0" w:after="0" w:afterAutospacing="0" w:line="440" w:lineRule="exact"/>
        <w:ind w:firstLine="480" w:firstLineChars="200"/>
        <w:jc w:val="both"/>
        <w:rPr>
          <w:bCs/>
        </w:rPr>
      </w:pPr>
      <w:r>
        <w:rPr>
          <w:rFonts w:hint="eastAsia"/>
          <w:bCs/>
        </w:rPr>
        <w:t>综合评估法，在满足招标文件要求的前提下，对每个有效投标单位的响应文件分别进行综合评分并汇总，总分</w:t>
      </w:r>
      <w:r>
        <w:rPr>
          <w:bCs/>
        </w:rPr>
        <w:t>100</w:t>
      </w:r>
      <w:r>
        <w:rPr>
          <w:rFonts w:hint="eastAsia"/>
          <w:bCs/>
        </w:rPr>
        <w:t>分。若出现得分相同情况，由全体评标委员会成员投票决定。投标单位最终得分从高到低依次排列，排名第一位的投标单位为本次招标项目的拟中标单位。</w:t>
      </w:r>
    </w:p>
    <w:p>
      <w:pPr>
        <w:pStyle w:val="16"/>
        <w:spacing w:before="0" w:beforeAutospacing="0" w:after="0" w:afterAutospacing="0" w:line="440" w:lineRule="exact"/>
        <w:ind w:firstLine="480" w:firstLineChars="200"/>
        <w:jc w:val="both"/>
        <w:rPr>
          <w:bCs/>
        </w:rPr>
      </w:pPr>
      <w:r>
        <w:rPr>
          <w:rFonts w:hint="eastAsia"/>
          <w:b/>
        </w:rPr>
        <w:t>特别提醒：中标公司如在以后的深化设计，施工管理等环节，被甲方发现其设计能力与管理水平与“中标”事实严重违背，或有证据表明中标公司投标聘请编外人员的，将予以10万元罚款。</w:t>
      </w:r>
      <w:r>
        <w:rPr>
          <w:rFonts w:hint="eastAsia"/>
          <w:bCs/>
        </w:rPr>
        <w:t xml:space="preserve"> </w:t>
      </w:r>
    </w:p>
    <w:p>
      <w:pPr>
        <w:pStyle w:val="16"/>
        <w:spacing w:before="0" w:beforeAutospacing="0" w:after="0" w:afterAutospacing="0" w:line="440" w:lineRule="exact"/>
        <w:ind w:firstLine="480" w:firstLineChars="200"/>
        <w:jc w:val="both"/>
        <w:rPr>
          <w:bCs/>
        </w:rPr>
      </w:pPr>
    </w:p>
    <w:p>
      <w:pPr>
        <w:pStyle w:val="16"/>
        <w:spacing w:before="0" w:beforeAutospacing="0" w:after="0" w:afterAutospacing="0" w:line="440" w:lineRule="exact"/>
        <w:ind w:left="-420" w:leftChars="-200" w:firstLine="900" w:firstLineChars="375"/>
        <w:jc w:val="both"/>
        <w:rPr>
          <w:bCs/>
        </w:rPr>
      </w:pPr>
      <w:r>
        <w:rPr>
          <w:rFonts w:hint="eastAsia"/>
          <w:bCs/>
        </w:rPr>
        <w:t>评分表分为技术部分（80分）和商务部分（20分），具体内容及分值如下：</w:t>
      </w:r>
    </w:p>
    <w:tbl>
      <w:tblPr>
        <w:tblStyle w:val="22"/>
        <w:tblW w:w="10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945"/>
        <w:gridCol w:w="519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940" w:type="dxa"/>
            <w:vMerge w:val="restart"/>
            <w:vAlign w:val="center"/>
          </w:tcPr>
          <w:p>
            <w:pPr>
              <w:jc w:val="center"/>
              <w:rPr>
                <w:rFonts w:ascii="宋体" w:hAnsi="宋体"/>
                <w:b/>
                <w:sz w:val="18"/>
                <w:szCs w:val="18"/>
              </w:rPr>
            </w:pPr>
            <w:r>
              <w:rPr>
                <w:rFonts w:hint="eastAsia" w:ascii="宋体" w:hAnsi="宋体"/>
                <w:b/>
                <w:sz w:val="18"/>
                <w:szCs w:val="18"/>
              </w:rPr>
              <w:t>一、</w:t>
            </w:r>
          </w:p>
          <w:p>
            <w:pPr>
              <w:jc w:val="center"/>
              <w:rPr>
                <w:rFonts w:ascii="宋体" w:hAnsi="宋体"/>
                <w:b/>
                <w:sz w:val="18"/>
                <w:szCs w:val="18"/>
              </w:rPr>
            </w:pPr>
            <w:r>
              <w:rPr>
                <w:rFonts w:hint="eastAsia" w:ascii="宋体" w:hAnsi="宋体"/>
                <w:b/>
                <w:sz w:val="18"/>
                <w:szCs w:val="18"/>
              </w:rPr>
              <w:t>技术部分</w:t>
            </w:r>
          </w:p>
          <w:p>
            <w:pPr>
              <w:jc w:val="center"/>
              <w:rPr>
                <w:sz w:val="18"/>
                <w:szCs w:val="18"/>
              </w:rPr>
            </w:pPr>
            <w:r>
              <w:rPr>
                <w:rFonts w:hint="eastAsia" w:ascii="宋体" w:hAnsi="宋体"/>
                <w:b/>
                <w:sz w:val="18"/>
                <w:szCs w:val="18"/>
              </w:rPr>
              <w:t>（80分）</w:t>
            </w:r>
          </w:p>
        </w:tc>
        <w:tc>
          <w:tcPr>
            <w:tcW w:w="8140" w:type="dxa"/>
            <w:gridSpan w:val="2"/>
            <w:vAlign w:val="center"/>
          </w:tcPr>
          <w:p>
            <w:pPr>
              <w:jc w:val="center"/>
              <w:rPr>
                <w:sz w:val="18"/>
                <w:szCs w:val="18"/>
              </w:rPr>
            </w:pPr>
            <w:r>
              <w:rPr>
                <w:rFonts w:hint="eastAsia"/>
                <w:sz w:val="18"/>
                <w:szCs w:val="18"/>
              </w:rPr>
              <w:t>评  标  内  容</w:t>
            </w:r>
          </w:p>
        </w:tc>
        <w:tc>
          <w:tcPr>
            <w:tcW w:w="1301" w:type="dxa"/>
            <w:vAlign w:val="center"/>
          </w:tcPr>
          <w:p>
            <w:pPr>
              <w:rPr>
                <w:sz w:val="18"/>
                <w:szCs w:val="18"/>
              </w:rPr>
            </w:pPr>
            <w:r>
              <w:rPr>
                <w:rFonts w:hint="eastAsia"/>
                <w:sz w:val="18"/>
                <w:szCs w:val="1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5" w:hRule="atLeast"/>
        </w:trPr>
        <w:tc>
          <w:tcPr>
            <w:tcW w:w="940" w:type="dxa"/>
            <w:vMerge w:val="continue"/>
          </w:tcPr>
          <w:p>
            <w:pPr>
              <w:rPr>
                <w:rFonts w:ascii="宋体" w:hAnsi="宋体"/>
                <w:b/>
                <w:sz w:val="18"/>
                <w:szCs w:val="18"/>
              </w:rPr>
            </w:pPr>
          </w:p>
        </w:tc>
        <w:tc>
          <w:tcPr>
            <w:tcW w:w="2945" w:type="dxa"/>
            <w:vAlign w:val="center"/>
          </w:tcPr>
          <w:p>
            <w:pPr>
              <w:rPr>
                <w:rFonts w:ascii="宋体" w:hAnsi="宋体"/>
                <w:b/>
                <w:sz w:val="18"/>
                <w:szCs w:val="18"/>
              </w:rPr>
            </w:pPr>
            <w:r>
              <w:rPr>
                <w:rFonts w:hint="eastAsia" w:ascii="宋体" w:hAnsi="宋体"/>
                <w:b/>
                <w:sz w:val="18"/>
                <w:szCs w:val="18"/>
              </w:rPr>
              <w:t>总体立面布局设计（满分20）</w:t>
            </w:r>
          </w:p>
        </w:tc>
        <w:tc>
          <w:tcPr>
            <w:tcW w:w="5195" w:type="dxa"/>
            <w:vAlign w:val="center"/>
          </w:tcPr>
          <w:p>
            <w:pPr>
              <w:spacing w:line="360" w:lineRule="auto"/>
              <w:rPr>
                <w:rFonts w:ascii="宋体" w:hAnsi="宋体"/>
                <w:sz w:val="18"/>
                <w:szCs w:val="18"/>
              </w:rPr>
            </w:pPr>
            <w:r>
              <w:rPr>
                <w:rFonts w:hint="eastAsia" w:ascii="宋体" w:hAnsi="宋体"/>
                <w:sz w:val="18"/>
                <w:szCs w:val="18"/>
              </w:rPr>
              <w:t>总体立面布局设计完全符合要求，且考虑周全，对招标文件响应程度高，可评15-20分。</w:t>
            </w:r>
          </w:p>
          <w:p>
            <w:pPr>
              <w:spacing w:line="360" w:lineRule="auto"/>
              <w:rPr>
                <w:rFonts w:ascii="宋体" w:hAnsi="宋体"/>
                <w:sz w:val="18"/>
                <w:szCs w:val="18"/>
              </w:rPr>
            </w:pPr>
            <w:r>
              <w:rPr>
                <w:rFonts w:hint="eastAsia" w:ascii="宋体" w:hAnsi="宋体"/>
                <w:sz w:val="18"/>
                <w:szCs w:val="18"/>
              </w:rPr>
              <w:t>总体立面布局设计基本符合要求，且考虑较为周全，对招标文件响应程度较高，可评9-14分。</w:t>
            </w:r>
          </w:p>
          <w:p>
            <w:pPr>
              <w:spacing w:line="360" w:lineRule="auto"/>
              <w:rPr>
                <w:rFonts w:ascii="宋体" w:hAnsi="宋体"/>
                <w:sz w:val="18"/>
                <w:szCs w:val="18"/>
              </w:rPr>
            </w:pPr>
            <w:r>
              <w:rPr>
                <w:rFonts w:hint="eastAsia" w:ascii="宋体" w:hAnsi="宋体"/>
                <w:sz w:val="18"/>
                <w:szCs w:val="18"/>
              </w:rPr>
              <w:t>总体立面布局设计与招标文件要求差距较大，可得5-8分</w:t>
            </w:r>
          </w:p>
        </w:tc>
        <w:tc>
          <w:tcPr>
            <w:tcW w:w="1301" w:type="dxa"/>
            <w:vAlign w:val="center"/>
          </w:tcPr>
          <w:p>
            <w:pPr>
              <w:rPr>
                <w:sz w:val="18"/>
                <w:szCs w:val="18"/>
              </w:rPr>
            </w:pPr>
            <w:r>
              <w:rPr>
                <w:rFonts w:hint="eastAsia" w:ascii="宋体" w:hAnsi="宋体" w:cs="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0" w:hRule="atLeast"/>
        </w:trPr>
        <w:tc>
          <w:tcPr>
            <w:tcW w:w="940" w:type="dxa"/>
            <w:vMerge w:val="continue"/>
          </w:tcPr>
          <w:p>
            <w:pPr>
              <w:rPr>
                <w:rFonts w:ascii="宋体" w:hAnsi="宋体" w:cs="宋体"/>
                <w:b/>
                <w:bCs/>
                <w:sz w:val="18"/>
                <w:szCs w:val="18"/>
              </w:rPr>
            </w:pPr>
          </w:p>
        </w:tc>
        <w:tc>
          <w:tcPr>
            <w:tcW w:w="2945" w:type="dxa"/>
            <w:vAlign w:val="center"/>
          </w:tcPr>
          <w:p>
            <w:pPr>
              <w:rPr>
                <w:rFonts w:ascii="宋体" w:hAnsi="宋体"/>
                <w:b/>
                <w:sz w:val="18"/>
                <w:szCs w:val="18"/>
              </w:rPr>
            </w:pPr>
            <w:r>
              <w:rPr>
                <w:rFonts w:hint="eastAsia" w:ascii="宋体" w:hAnsi="宋体"/>
                <w:b/>
                <w:sz w:val="18"/>
                <w:szCs w:val="18"/>
                <w:lang w:val="en-US" w:eastAsia="zh-Hans"/>
              </w:rPr>
              <w:t>艺术装置</w:t>
            </w:r>
            <w:r>
              <w:rPr>
                <w:rFonts w:hint="eastAsia" w:ascii="宋体" w:hAnsi="宋体"/>
                <w:b/>
                <w:sz w:val="18"/>
                <w:szCs w:val="18"/>
              </w:rPr>
              <w:t>效果图（满分</w:t>
            </w:r>
            <w:r>
              <w:rPr>
                <w:rFonts w:ascii="宋体" w:hAnsi="宋体"/>
                <w:b/>
                <w:sz w:val="18"/>
                <w:szCs w:val="18"/>
              </w:rPr>
              <w:t>10</w:t>
            </w:r>
            <w:r>
              <w:rPr>
                <w:rFonts w:hint="eastAsia" w:ascii="宋体" w:hAnsi="宋体"/>
                <w:b/>
                <w:sz w:val="18"/>
                <w:szCs w:val="18"/>
              </w:rPr>
              <w:t>）</w:t>
            </w:r>
          </w:p>
        </w:tc>
        <w:tc>
          <w:tcPr>
            <w:tcW w:w="5195" w:type="dxa"/>
            <w:vAlign w:val="center"/>
          </w:tcPr>
          <w:p>
            <w:pPr>
              <w:spacing w:line="360" w:lineRule="auto"/>
              <w:rPr>
                <w:rFonts w:ascii="宋体" w:hAnsi="宋体"/>
                <w:sz w:val="18"/>
                <w:szCs w:val="18"/>
              </w:rPr>
            </w:pPr>
            <w:r>
              <w:rPr>
                <w:rFonts w:hint="eastAsia" w:ascii="宋体" w:hAnsi="宋体"/>
                <w:sz w:val="18"/>
                <w:szCs w:val="18"/>
                <w:lang w:val="en-US" w:eastAsia="zh-Hans"/>
              </w:rPr>
              <w:t>艺术装置</w:t>
            </w:r>
            <w:r>
              <w:rPr>
                <w:rFonts w:hint="eastAsia" w:ascii="宋体" w:hAnsi="宋体"/>
                <w:sz w:val="18"/>
                <w:szCs w:val="18"/>
              </w:rPr>
              <w:t>效果图完全符合要求，且考虑周全，对招标文件响应程度高，可评</w:t>
            </w:r>
            <w:r>
              <w:rPr>
                <w:rFonts w:ascii="宋体" w:hAnsi="宋体"/>
                <w:sz w:val="18"/>
                <w:szCs w:val="18"/>
              </w:rPr>
              <w:t>7-10</w:t>
            </w:r>
            <w:r>
              <w:rPr>
                <w:rFonts w:hint="eastAsia" w:ascii="宋体" w:hAnsi="宋体"/>
                <w:sz w:val="18"/>
                <w:szCs w:val="18"/>
              </w:rPr>
              <w:t>分。</w:t>
            </w:r>
          </w:p>
          <w:p>
            <w:pPr>
              <w:spacing w:line="360" w:lineRule="auto"/>
              <w:rPr>
                <w:rFonts w:ascii="宋体" w:hAnsi="宋体"/>
                <w:sz w:val="18"/>
                <w:szCs w:val="18"/>
              </w:rPr>
            </w:pPr>
            <w:r>
              <w:rPr>
                <w:rFonts w:hint="eastAsia" w:ascii="宋体" w:hAnsi="宋体"/>
                <w:sz w:val="18"/>
                <w:szCs w:val="18"/>
                <w:lang w:val="en-US" w:eastAsia="zh-Hans"/>
              </w:rPr>
              <w:t>艺术装置</w:t>
            </w:r>
            <w:r>
              <w:rPr>
                <w:rFonts w:hint="eastAsia" w:ascii="宋体" w:hAnsi="宋体"/>
                <w:sz w:val="18"/>
                <w:szCs w:val="18"/>
              </w:rPr>
              <w:t>效果图基本符合要求，且考虑较为周全，对招标文件响应程度较高，可评</w:t>
            </w:r>
            <w:r>
              <w:rPr>
                <w:rFonts w:ascii="宋体" w:hAnsi="宋体"/>
                <w:sz w:val="18"/>
                <w:szCs w:val="18"/>
              </w:rPr>
              <w:t>4-6</w:t>
            </w:r>
            <w:r>
              <w:rPr>
                <w:rFonts w:hint="eastAsia" w:ascii="宋体" w:hAnsi="宋体"/>
                <w:sz w:val="18"/>
                <w:szCs w:val="18"/>
              </w:rPr>
              <w:t>分。</w:t>
            </w:r>
          </w:p>
          <w:p>
            <w:pPr>
              <w:tabs>
                <w:tab w:val="left" w:pos="1080"/>
                <w:tab w:val="left" w:pos="1260"/>
              </w:tabs>
              <w:spacing w:line="360" w:lineRule="auto"/>
              <w:rPr>
                <w:rFonts w:ascii="宋体" w:hAnsi="宋体" w:cs="宋体"/>
                <w:sz w:val="18"/>
                <w:szCs w:val="18"/>
              </w:rPr>
            </w:pPr>
            <w:r>
              <w:rPr>
                <w:rFonts w:hint="eastAsia" w:ascii="宋体" w:hAnsi="宋体"/>
                <w:sz w:val="18"/>
                <w:szCs w:val="18"/>
                <w:lang w:val="en-US" w:eastAsia="zh-Hans"/>
              </w:rPr>
              <w:t>艺术装置</w:t>
            </w:r>
            <w:r>
              <w:rPr>
                <w:rFonts w:hint="eastAsia" w:ascii="宋体" w:hAnsi="宋体"/>
                <w:sz w:val="18"/>
                <w:szCs w:val="18"/>
              </w:rPr>
              <w:t>效果图与招标文件要求差距较大，可得</w:t>
            </w:r>
            <w:r>
              <w:rPr>
                <w:rFonts w:ascii="宋体" w:hAnsi="宋体"/>
                <w:sz w:val="18"/>
                <w:szCs w:val="18"/>
              </w:rPr>
              <w:t>1-3</w:t>
            </w:r>
            <w:r>
              <w:rPr>
                <w:rFonts w:hint="eastAsia" w:ascii="宋体" w:hAnsi="宋体"/>
                <w:sz w:val="18"/>
                <w:szCs w:val="18"/>
              </w:rPr>
              <w:t>分</w:t>
            </w:r>
          </w:p>
        </w:tc>
        <w:tc>
          <w:tcPr>
            <w:tcW w:w="1301" w:type="dxa"/>
            <w:vAlign w:val="center"/>
          </w:tcPr>
          <w:p>
            <w:pPr>
              <w:rPr>
                <w:sz w:val="18"/>
                <w:szCs w:val="18"/>
              </w:rPr>
            </w:pPr>
            <w:r>
              <w:rPr>
                <w:rFonts w:ascii="宋体" w:hAnsi="宋体" w:cs="宋体"/>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940" w:type="dxa"/>
            <w:vMerge w:val="continue"/>
          </w:tcPr>
          <w:p>
            <w:pPr>
              <w:rPr>
                <w:rFonts w:ascii="宋体" w:hAnsi="宋体" w:cs="宋体"/>
                <w:b/>
                <w:bCs/>
                <w:sz w:val="18"/>
                <w:szCs w:val="18"/>
              </w:rPr>
            </w:pPr>
          </w:p>
        </w:tc>
        <w:tc>
          <w:tcPr>
            <w:tcW w:w="2945" w:type="dxa"/>
            <w:vAlign w:val="center"/>
          </w:tcPr>
          <w:p>
            <w:pPr>
              <w:rPr>
                <w:rFonts w:ascii="宋体" w:hAnsi="宋体"/>
                <w:b/>
                <w:sz w:val="18"/>
                <w:szCs w:val="18"/>
              </w:rPr>
            </w:pPr>
            <w:r>
              <w:rPr>
                <w:rFonts w:hint="eastAsia" w:ascii="宋体" w:hAnsi="宋体"/>
                <w:b/>
                <w:sz w:val="18"/>
                <w:szCs w:val="18"/>
              </w:rPr>
              <w:t>各部分版面立面设计图（满分</w:t>
            </w:r>
            <w:r>
              <w:rPr>
                <w:rFonts w:ascii="宋体" w:hAnsi="宋体"/>
                <w:b/>
                <w:sz w:val="18"/>
                <w:szCs w:val="18"/>
              </w:rPr>
              <w:t>2</w:t>
            </w:r>
            <w:r>
              <w:rPr>
                <w:rFonts w:hint="eastAsia" w:ascii="宋体" w:hAnsi="宋体"/>
                <w:b/>
                <w:sz w:val="18"/>
                <w:szCs w:val="18"/>
              </w:rPr>
              <w:t>0）</w:t>
            </w:r>
          </w:p>
        </w:tc>
        <w:tc>
          <w:tcPr>
            <w:tcW w:w="5195" w:type="dxa"/>
            <w:vAlign w:val="center"/>
          </w:tcPr>
          <w:p>
            <w:pPr>
              <w:spacing w:line="360" w:lineRule="auto"/>
              <w:rPr>
                <w:rFonts w:ascii="宋体" w:hAnsi="宋体"/>
                <w:sz w:val="18"/>
                <w:szCs w:val="18"/>
              </w:rPr>
            </w:pPr>
            <w:r>
              <w:rPr>
                <w:rFonts w:hint="eastAsia" w:ascii="宋体" w:hAnsi="宋体"/>
                <w:sz w:val="18"/>
                <w:szCs w:val="18"/>
              </w:rPr>
              <w:t>各部分版面立面设计图完全符合要求，且考虑周全，对招标文件响应程度高，可评</w:t>
            </w:r>
            <w:r>
              <w:rPr>
                <w:rFonts w:ascii="宋体" w:hAnsi="宋体"/>
                <w:sz w:val="18"/>
                <w:szCs w:val="18"/>
              </w:rPr>
              <w:t>15-20</w:t>
            </w:r>
            <w:r>
              <w:rPr>
                <w:rFonts w:hint="eastAsia" w:ascii="宋体" w:hAnsi="宋体"/>
                <w:sz w:val="18"/>
                <w:szCs w:val="18"/>
              </w:rPr>
              <w:t>分。</w:t>
            </w:r>
          </w:p>
          <w:p>
            <w:pPr>
              <w:spacing w:line="360" w:lineRule="auto"/>
              <w:rPr>
                <w:rFonts w:ascii="宋体" w:hAnsi="宋体"/>
                <w:sz w:val="18"/>
                <w:szCs w:val="18"/>
              </w:rPr>
            </w:pPr>
            <w:r>
              <w:rPr>
                <w:rFonts w:hint="eastAsia" w:ascii="宋体" w:hAnsi="宋体"/>
                <w:sz w:val="18"/>
                <w:szCs w:val="18"/>
              </w:rPr>
              <w:t>各部分版面立面设计图基本符合要求，且考虑较为周全，对招标文件响应程度较高，可评</w:t>
            </w:r>
            <w:r>
              <w:rPr>
                <w:rFonts w:ascii="宋体" w:hAnsi="宋体"/>
                <w:sz w:val="18"/>
                <w:szCs w:val="18"/>
              </w:rPr>
              <w:t>9-14</w:t>
            </w:r>
            <w:r>
              <w:rPr>
                <w:rFonts w:hint="eastAsia" w:ascii="宋体" w:hAnsi="宋体"/>
                <w:sz w:val="18"/>
                <w:szCs w:val="18"/>
              </w:rPr>
              <w:t>分。</w:t>
            </w:r>
          </w:p>
          <w:p>
            <w:pPr>
              <w:tabs>
                <w:tab w:val="left" w:pos="1080"/>
                <w:tab w:val="left" w:pos="1260"/>
              </w:tabs>
              <w:spacing w:line="360" w:lineRule="auto"/>
              <w:rPr>
                <w:rFonts w:ascii="宋体" w:hAnsi="宋体"/>
                <w:sz w:val="18"/>
                <w:szCs w:val="18"/>
              </w:rPr>
            </w:pPr>
            <w:r>
              <w:rPr>
                <w:rFonts w:hint="eastAsia" w:ascii="宋体" w:hAnsi="宋体"/>
                <w:sz w:val="18"/>
                <w:szCs w:val="18"/>
              </w:rPr>
              <w:t>各部分版面立面设计图与招标文件要求差距较大，可得</w:t>
            </w:r>
            <w:r>
              <w:rPr>
                <w:rFonts w:ascii="宋体" w:hAnsi="宋体"/>
                <w:sz w:val="18"/>
                <w:szCs w:val="18"/>
              </w:rPr>
              <w:t>5-8</w:t>
            </w:r>
            <w:r>
              <w:rPr>
                <w:rFonts w:hint="eastAsia" w:ascii="宋体" w:hAnsi="宋体"/>
                <w:sz w:val="18"/>
                <w:szCs w:val="18"/>
              </w:rPr>
              <w:t>分</w:t>
            </w:r>
          </w:p>
        </w:tc>
        <w:tc>
          <w:tcPr>
            <w:tcW w:w="1301" w:type="dxa"/>
            <w:vAlign w:val="center"/>
          </w:tcPr>
          <w:p>
            <w:pPr>
              <w:rPr>
                <w:sz w:val="18"/>
                <w:szCs w:val="18"/>
              </w:rPr>
            </w:pPr>
            <w:r>
              <w:rPr>
                <w:rFonts w:ascii="宋体" w:hAnsi="宋体" w:cs="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940" w:type="dxa"/>
            <w:vMerge w:val="continue"/>
          </w:tcPr>
          <w:p>
            <w:pPr>
              <w:rPr>
                <w:rFonts w:ascii="宋体" w:hAnsi="宋体" w:cs="宋体"/>
                <w:b/>
                <w:bCs/>
                <w:sz w:val="18"/>
                <w:szCs w:val="18"/>
              </w:rPr>
            </w:pPr>
          </w:p>
        </w:tc>
        <w:tc>
          <w:tcPr>
            <w:tcW w:w="2945" w:type="dxa"/>
            <w:vAlign w:val="center"/>
          </w:tcPr>
          <w:p>
            <w:pPr>
              <w:rPr>
                <w:rFonts w:ascii="宋体" w:hAnsi="宋体"/>
                <w:spacing w:val="10"/>
                <w:sz w:val="24"/>
              </w:rPr>
            </w:pPr>
            <w:r>
              <w:rPr>
                <w:rFonts w:hint="eastAsia" w:ascii="宋体" w:hAnsi="宋体"/>
                <w:b/>
                <w:sz w:val="18"/>
                <w:szCs w:val="18"/>
              </w:rPr>
              <w:t>主题背景版设计图（满分10）</w:t>
            </w:r>
          </w:p>
        </w:tc>
        <w:tc>
          <w:tcPr>
            <w:tcW w:w="5195" w:type="dxa"/>
            <w:vAlign w:val="center"/>
          </w:tcPr>
          <w:p>
            <w:pPr>
              <w:spacing w:line="360" w:lineRule="auto"/>
              <w:rPr>
                <w:rFonts w:ascii="宋体" w:hAnsi="宋体"/>
                <w:sz w:val="18"/>
                <w:szCs w:val="18"/>
              </w:rPr>
            </w:pPr>
            <w:r>
              <w:rPr>
                <w:rFonts w:hint="eastAsia" w:ascii="宋体" w:hAnsi="宋体"/>
                <w:sz w:val="18"/>
                <w:szCs w:val="18"/>
              </w:rPr>
              <w:t>主题背景版设计图完全符合要求，且考虑周全，对招标文件响应程度高，可评7-10分。</w:t>
            </w:r>
          </w:p>
          <w:p>
            <w:pPr>
              <w:spacing w:line="360" w:lineRule="auto"/>
              <w:rPr>
                <w:rFonts w:ascii="宋体" w:hAnsi="宋体"/>
                <w:sz w:val="18"/>
                <w:szCs w:val="18"/>
              </w:rPr>
            </w:pPr>
            <w:r>
              <w:rPr>
                <w:rFonts w:hint="eastAsia" w:ascii="宋体" w:hAnsi="宋体"/>
                <w:sz w:val="18"/>
                <w:szCs w:val="18"/>
              </w:rPr>
              <w:t>主题背景版设计图基本符合要求，且考虑较为周全，对招标文件响应程度较高，可评4-6分。</w:t>
            </w:r>
          </w:p>
          <w:p>
            <w:pPr>
              <w:spacing w:line="360" w:lineRule="auto"/>
              <w:rPr>
                <w:rFonts w:ascii="宋体" w:hAnsi="宋体"/>
                <w:sz w:val="18"/>
                <w:szCs w:val="18"/>
              </w:rPr>
            </w:pPr>
            <w:r>
              <w:rPr>
                <w:rFonts w:hint="eastAsia" w:ascii="宋体" w:hAnsi="宋体"/>
                <w:sz w:val="18"/>
                <w:szCs w:val="18"/>
              </w:rPr>
              <w:t>主题背景版设计图与招标文件要求差距较大，可得1-3分</w:t>
            </w:r>
          </w:p>
        </w:tc>
        <w:tc>
          <w:tcPr>
            <w:tcW w:w="1301" w:type="dxa"/>
            <w:vAlign w:val="center"/>
          </w:tcPr>
          <w:p>
            <w:pPr>
              <w:rPr>
                <w:rFonts w:ascii="宋体" w:hAnsi="宋体" w:cs="宋体"/>
                <w:sz w:val="18"/>
                <w:szCs w:val="18"/>
              </w:rPr>
            </w:pPr>
            <w:r>
              <w:rPr>
                <w:rFonts w:hint="eastAsia" w:ascii="宋体" w:hAnsi="宋体" w:cs="宋体"/>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940" w:type="dxa"/>
            <w:vMerge w:val="continue"/>
          </w:tcPr>
          <w:p>
            <w:pPr>
              <w:rPr>
                <w:rFonts w:ascii="宋体" w:hAnsi="宋体" w:cs="宋体"/>
                <w:b/>
                <w:bCs/>
                <w:sz w:val="18"/>
                <w:szCs w:val="18"/>
              </w:rPr>
            </w:pPr>
          </w:p>
        </w:tc>
        <w:tc>
          <w:tcPr>
            <w:tcW w:w="2945" w:type="dxa"/>
            <w:tcBorders>
              <w:bottom w:val="nil"/>
            </w:tcBorders>
            <w:vAlign w:val="center"/>
          </w:tcPr>
          <w:p>
            <w:pPr>
              <w:rPr>
                <w:rFonts w:ascii="宋体" w:hAnsi="宋体"/>
                <w:b/>
                <w:sz w:val="18"/>
                <w:szCs w:val="18"/>
              </w:rPr>
            </w:pPr>
            <w:r>
              <w:rPr>
                <w:rFonts w:hint="eastAsia" w:ascii="宋体" w:hAnsi="宋体"/>
                <w:b/>
                <w:sz w:val="18"/>
                <w:szCs w:val="18"/>
              </w:rPr>
              <w:t>空间效果图（满分10）</w:t>
            </w:r>
          </w:p>
        </w:tc>
        <w:tc>
          <w:tcPr>
            <w:tcW w:w="5195" w:type="dxa"/>
            <w:tcBorders>
              <w:bottom w:val="nil"/>
            </w:tcBorders>
            <w:vAlign w:val="center"/>
          </w:tcPr>
          <w:p>
            <w:pPr>
              <w:spacing w:line="360" w:lineRule="auto"/>
              <w:rPr>
                <w:rFonts w:ascii="宋体" w:hAnsi="宋体"/>
                <w:sz w:val="18"/>
                <w:szCs w:val="18"/>
              </w:rPr>
            </w:pPr>
            <w:r>
              <w:rPr>
                <w:rFonts w:hint="eastAsia" w:ascii="宋体" w:hAnsi="宋体"/>
                <w:sz w:val="18"/>
                <w:szCs w:val="18"/>
              </w:rPr>
              <w:t>空间效果图完全符合要求，且考虑周全，对招标文件响应程度高，可评7-10分。</w:t>
            </w:r>
          </w:p>
          <w:p>
            <w:pPr>
              <w:spacing w:line="360" w:lineRule="auto"/>
              <w:rPr>
                <w:rFonts w:ascii="宋体" w:hAnsi="宋体"/>
                <w:sz w:val="18"/>
                <w:szCs w:val="18"/>
              </w:rPr>
            </w:pPr>
            <w:r>
              <w:rPr>
                <w:rFonts w:hint="eastAsia" w:ascii="宋体" w:hAnsi="宋体"/>
                <w:sz w:val="18"/>
                <w:szCs w:val="18"/>
              </w:rPr>
              <w:t>空间效果图基本符合要求，且考虑较为周全，对招标文件响应程度较高，可评4-6分。</w:t>
            </w:r>
          </w:p>
          <w:p>
            <w:pPr>
              <w:spacing w:line="360" w:lineRule="auto"/>
              <w:rPr>
                <w:rFonts w:ascii="宋体" w:hAnsi="宋体"/>
                <w:sz w:val="18"/>
                <w:szCs w:val="18"/>
              </w:rPr>
            </w:pPr>
            <w:r>
              <w:rPr>
                <w:rFonts w:hint="eastAsia" w:ascii="宋体" w:hAnsi="宋体"/>
                <w:sz w:val="18"/>
                <w:szCs w:val="18"/>
              </w:rPr>
              <w:t>空间效果图与招标文件要求差距较大，可得1-3分</w:t>
            </w:r>
          </w:p>
        </w:tc>
        <w:tc>
          <w:tcPr>
            <w:tcW w:w="1301" w:type="dxa"/>
            <w:tcBorders>
              <w:bottom w:val="nil"/>
            </w:tcBorders>
            <w:vAlign w:val="center"/>
          </w:tcPr>
          <w:p>
            <w:pPr>
              <w:rPr>
                <w:rFonts w:ascii="宋体" w:hAnsi="宋体" w:cs="宋体"/>
                <w:sz w:val="18"/>
                <w:szCs w:val="18"/>
              </w:rPr>
            </w:pPr>
            <w:r>
              <w:rPr>
                <w:rFonts w:hint="eastAsia"/>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940" w:type="dxa"/>
            <w:vMerge w:val="continue"/>
          </w:tcPr>
          <w:p>
            <w:pPr>
              <w:rPr>
                <w:rFonts w:ascii="宋体" w:hAnsi="宋体" w:cs="宋体"/>
                <w:b/>
                <w:bCs/>
                <w:sz w:val="18"/>
                <w:szCs w:val="18"/>
              </w:rPr>
            </w:pPr>
          </w:p>
        </w:tc>
        <w:tc>
          <w:tcPr>
            <w:tcW w:w="2945" w:type="dxa"/>
            <w:tcBorders>
              <w:bottom w:val="nil"/>
            </w:tcBorders>
            <w:vAlign w:val="center"/>
          </w:tcPr>
          <w:p>
            <w:pPr>
              <w:rPr>
                <w:rFonts w:ascii="宋体" w:hAnsi="宋体"/>
                <w:b/>
                <w:sz w:val="18"/>
                <w:szCs w:val="18"/>
              </w:rPr>
            </w:pPr>
            <w:r>
              <w:rPr>
                <w:rFonts w:hint="eastAsia" w:ascii="宋体" w:hAnsi="宋体"/>
                <w:b/>
                <w:sz w:val="18"/>
                <w:szCs w:val="18"/>
              </w:rPr>
              <w:t>物料设计图（满分1</w:t>
            </w:r>
            <w:r>
              <w:rPr>
                <w:rFonts w:ascii="宋体" w:hAnsi="宋体"/>
                <w:b/>
                <w:sz w:val="18"/>
                <w:szCs w:val="18"/>
              </w:rPr>
              <w:t>0</w:t>
            </w:r>
            <w:r>
              <w:rPr>
                <w:rFonts w:hint="eastAsia" w:ascii="宋体" w:hAnsi="宋体"/>
                <w:b/>
                <w:sz w:val="18"/>
                <w:szCs w:val="18"/>
              </w:rPr>
              <w:t>）</w:t>
            </w:r>
          </w:p>
        </w:tc>
        <w:tc>
          <w:tcPr>
            <w:tcW w:w="5195" w:type="dxa"/>
            <w:tcBorders>
              <w:bottom w:val="nil"/>
            </w:tcBorders>
            <w:vAlign w:val="center"/>
          </w:tcPr>
          <w:p>
            <w:pPr>
              <w:spacing w:line="360" w:lineRule="auto"/>
              <w:rPr>
                <w:rFonts w:ascii="宋体" w:hAnsi="宋体"/>
                <w:sz w:val="18"/>
                <w:szCs w:val="18"/>
              </w:rPr>
            </w:pPr>
            <w:r>
              <w:rPr>
                <w:rFonts w:hint="eastAsia" w:ascii="宋体" w:hAnsi="宋体"/>
                <w:sz w:val="18"/>
                <w:szCs w:val="18"/>
              </w:rPr>
              <w:t>物料设计图完全符合要求，且考虑周全，性价比高，对招标文件响应程度高，可评7-10分。</w:t>
            </w:r>
          </w:p>
          <w:p>
            <w:pPr>
              <w:spacing w:line="360" w:lineRule="auto"/>
              <w:rPr>
                <w:rFonts w:ascii="宋体" w:hAnsi="宋体"/>
                <w:sz w:val="18"/>
                <w:szCs w:val="18"/>
              </w:rPr>
            </w:pPr>
            <w:r>
              <w:rPr>
                <w:rFonts w:hint="eastAsia" w:ascii="宋体" w:hAnsi="宋体"/>
                <w:sz w:val="18"/>
                <w:szCs w:val="18"/>
              </w:rPr>
              <w:t>物料设计图基本符合要求，且考虑较为周全，性价比不高，对招标文件响应程度较高，可评4-6分。</w:t>
            </w:r>
          </w:p>
          <w:p>
            <w:pPr>
              <w:spacing w:line="360" w:lineRule="auto"/>
              <w:rPr>
                <w:rFonts w:ascii="宋体" w:hAnsi="宋体"/>
                <w:sz w:val="18"/>
                <w:szCs w:val="18"/>
              </w:rPr>
            </w:pPr>
            <w:r>
              <w:rPr>
                <w:rFonts w:hint="eastAsia" w:ascii="宋体" w:hAnsi="宋体"/>
                <w:sz w:val="18"/>
                <w:szCs w:val="18"/>
              </w:rPr>
              <w:t>空间效果图与招标文件要求差距较大，可得1-3分</w:t>
            </w:r>
          </w:p>
        </w:tc>
        <w:tc>
          <w:tcPr>
            <w:tcW w:w="1301" w:type="dxa"/>
            <w:tcBorders>
              <w:bottom w:val="nil"/>
            </w:tcBorders>
            <w:vAlign w:val="center"/>
          </w:tcPr>
          <w:p>
            <w:pPr>
              <w:rPr>
                <w:sz w:val="18"/>
                <w:szCs w:val="18"/>
              </w:rPr>
            </w:pPr>
            <w:r>
              <w:rPr>
                <w:rFonts w:hint="eastAsia"/>
                <w:sz w:val="18"/>
                <w:szCs w:val="18"/>
              </w:rPr>
              <w:t>1</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9" w:hRule="atLeast"/>
        </w:trPr>
        <w:tc>
          <w:tcPr>
            <w:tcW w:w="940" w:type="dxa"/>
            <w:vMerge w:val="restart"/>
            <w:vAlign w:val="center"/>
          </w:tcPr>
          <w:p>
            <w:pPr>
              <w:jc w:val="center"/>
              <w:rPr>
                <w:rFonts w:ascii="宋体" w:hAnsi="宋体"/>
                <w:b/>
                <w:sz w:val="18"/>
                <w:szCs w:val="18"/>
              </w:rPr>
            </w:pPr>
            <w:r>
              <w:rPr>
                <w:rFonts w:hint="eastAsia" w:ascii="宋体" w:hAnsi="宋体"/>
                <w:b/>
                <w:sz w:val="18"/>
                <w:szCs w:val="18"/>
              </w:rPr>
              <w:t>二、</w:t>
            </w:r>
          </w:p>
          <w:p>
            <w:pPr>
              <w:jc w:val="center"/>
              <w:rPr>
                <w:rFonts w:ascii="宋体" w:hAnsi="宋体"/>
                <w:b/>
                <w:sz w:val="18"/>
                <w:szCs w:val="18"/>
              </w:rPr>
            </w:pPr>
            <w:r>
              <w:rPr>
                <w:rFonts w:hint="eastAsia" w:ascii="宋体" w:hAnsi="宋体"/>
                <w:b/>
                <w:sz w:val="18"/>
                <w:szCs w:val="18"/>
              </w:rPr>
              <w:t>商务部分</w:t>
            </w:r>
          </w:p>
          <w:p>
            <w:pPr>
              <w:jc w:val="center"/>
              <w:rPr>
                <w:rFonts w:ascii="宋体" w:hAnsi="宋体"/>
                <w:b/>
                <w:sz w:val="18"/>
                <w:szCs w:val="18"/>
              </w:rPr>
            </w:pPr>
            <w:r>
              <w:rPr>
                <w:rFonts w:hint="eastAsia" w:ascii="宋体" w:hAnsi="宋体"/>
                <w:b/>
                <w:sz w:val="18"/>
                <w:szCs w:val="18"/>
              </w:rPr>
              <w:t>（20分）</w:t>
            </w:r>
          </w:p>
        </w:tc>
        <w:tc>
          <w:tcPr>
            <w:tcW w:w="2945" w:type="dxa"/>
            <w:vAlign w:val="center"/>
          </w:tcPr>
          <w:p>
            <w:pPr>
              <w:rPr>
                <w:rFonts w:ascii="宋体" w:hAnsi="宋体"/>
                <w:b/>
                <w:sz w:val="18"/>
                <w:szCs w:val="18"/>
              </w:rPr>
            </w:pPr>
            <w:r>
              <w:rPr>
                <w:rFonts w:hint="eastAsia" w:ascii="宋体" w:hAnsi="宋体"/>
                <w:b/>
                <w:sz w:val="18"/>
                <w:szCs w:val="18"/>
              </w:rPr>
              <w:t>报价（满分15）</w:t>
            </w:r>
          </w:p>
        </w:tc>
        <w:tc>
          <w:tcPr>
            <w:tcW w:w="5195" w:type="dxa"/>
            <w:vAlign w:val="center"/>
          </w:tcPr>
          <w:p>
            <w:pPr>
              <w:rPr>
                <w:rFonts w:ascii="宋体" w:hAnsi="宋体"/>
                <w:sz w:val="18"/>
                <w:szCs w:val="18"/>
              </w:rPr>
            </w:pPr>
            <w:r>
              <w:rPr>
                <w:rFonts w:hint="eastAsia" w:ascii="宋体" w:hAnsi="宋体"/>
                <w:sz w:val="18"/>
                <w:szCs w:val="18"/>
              </w:rPr>
              <w:t>投标人根据自身企业实力各自报价（报价包括招标文件中提及的所有相应服务）。</w:t>
            </w:r>
          </w:p>
          <w:p>
            <w:pPr>
              <w:rPr>
                <w:rFonts w:ascii="宋体" w:hAnsi="宋体"/>
                <w:sz w:val="18"/>
                <w:szCs w:val="18"/>
              </w:rPr>
            </w:pPr>
            <w:r>
              <w:rPr>
                <w:rFonts w:hint="eastAsia" w:ascii="宋体" w:hAnsi="宋体"/>
                <w:sz w:val="18"/>
                <w:szCs w:val="18"/>
              </w:rPr>
              <w:t>评分标准：所有投标人报价算术平均求出本项目基准评审价。符合基准价的得满分15分，高于基准报价每1个百分点，扣1分；低于基准报价每1个百分点，扣0.5分，分值保留两位小数。</w:t>
            </w:r>
          </w:p>
        </w:tc>
        <w:tc>
          <w:tcPr>
            <w:tcW w:w="1301" w:type="dxa"/>
            <w:vAlign w:val="center"/>
          </w:tcPr>
          <w:p>
            <w:pPr>
              <w:rPr>
                <w:sz w:val="18"/>
                <w:szCs w:val="18"/>
              </w:rPr>
            </w:pPr>
            <w:r>
              <w:rPr>
                <w:rFonts w:hint="eastAsia"/>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940" w:type="dxa"/>
            <w:vMerge w:val="continue"/>
            <w:vAlign w:val="center"/>
          </w:tcPr>
          <w:p>
            <w:pPr>
              <w:jc w:val="center"/>
              <w:rPr>
                <w:rFonts w:ascii="宋体" w:hAnsi="宋体"/>
                <w:b/>
                <w:sz w:val="18"/>
                <w:szCs w:val="18"/>
              </w:rPr>
            </w:pPr>
          </w:p>
        </w:tc>
        <w:tc>
          <w:tcPr>
            <w:tcW w:w="2945" w:type="dxa"/>
            <w:vAlign w:val="center"/>
          </w:tcPr>
          <w:p>
            <w:pPr>
              <w:rPr>
                <w:rFonts w:ascii="宋体" w:hAnsi="宋体"/>
                <w:b/>
                <w:sz w:val="18"/>
                <w:szCs w:val="18"/>
              </w:rPr>
            </w:pPr>
            <w:r>
              <w:rPr>
                <w:rFonts w:hint="eastAsia" w:ascii="宋体" w:hAnsi="宋体"/>
                <w:b/>
                <w:sz w:val="18"/>
                <w:szCs w:val="18"/>
              </w:rPr>
              <w:t>展览工程业绩（满分5）</w:t>
            </w:r>
          </w:p>
        </w:tc>
        <w:tc>
          <w:tcPr>
            <w:tcW w:w="5195" w:type="dxa"/>
            <w:vAlign w:val="center"/>
          </w:tcPr>
          <w:p>
            <w:pPr>
              <w:rPr>
                <w:rFonts w:ascii="宋体" w:hAnsi="宋体"/>
                <w:sz w:val="18"/>
                <w:szCs w:val="18"/>
              </w:rPr>
            </w:pPr>
            <w:r>
              <w:rPr>
                <w:rFonts w:hint="eastAsia" w:ascii="宋体" w:hAnsi="宋体"/>
                <w:sz w:val="18"/>
                <w:szCs w:val="18"/>
              </w:rPr>
              <w:t>投标人（此次项目具体负责人）近三年获全国十大精品展项目或省市精品展项目的给予最高5分奖励。</w:t>
            </w:r>
          </w:p>
        </w:tc>
        <w:tc>
          <w:tcPr>
            <w:tcW w:w="1301" w:type="dxa"/>
            <w:vAlign w:val="center"/>
          </w:tcPr>
          <w:p>
            <w:pPr>
              <w:rPr>
                <w:sz w:val="18"/>
                <w:szCs w:val="18"/>
              </w:rPr>
            </w:pPr>
            <w:r>
              <w:rPr>
                <w:rFonts w:hint="eastAsia"/>
                <w:sz w:val="18"/>
                <w:szCs w:val="18"/>
              </w:rPr>
              <w:t>0-5</w:t>
            </w:r>
          </w:p>
        </w:tc>
      </w:tr>
    </w:tbl>
    <w:p>
      <w:pPr>
        <w:pStyle w:val="45"/>
        <w:rPr>
          <w:sz w:val="36"/>
          <w:szCs w:val="36"/>
        </w:rPr>
      </w:pPr>
    </w:p>
    <w:p>
      <w:pPr>
        <w:pStyle w:val="45"/>
        <w:rPr>
          <w:sz w:val="36"/>
          <w:szCs w:val="36"/>
        </w:rPr>
      </w:pPr>
    </w:p>
    <w:p>
      <w:pPr>
        <w:pStyle w:val="45"/>
        <w:rPr>
          <w:sz w:val="36"/>
          <w:szCs w:val="36"/>
        </w:rPr>
      </w:pPr>
    </w:p>
    <w:p>
      <w:pPr>
        <w:pStyle w:val="45"/>
        <w:rPr>
          <w:sz w:val="36"/>
          <w:szCs w:val="36"/>
        </w:rPr>
      </w:pPr>
    </w:p>
    <w:p>
      <w:pPr>
        <w:pStyle w:val="45"/>
        <w:rPr>
          <w:sz w:val="36"/>
          <w:szCs w:val="36"/>
        </w:rPr>
      </w:pPr>
    </w:p>
    <w:p>
      <w:pPr>
        <w:pStyle w:val="45"/>
        <w:jc w:val="center"/>
        <w:rPr>
          <w:sz w:val="36"/>
          <w:szCs w:val="36"/>
        </w:rPr>
      </w:pPr>
      <w:r>
        <w:rPr>
          <w:rFonts w:hint="eastAsia"/>
          <w:sz w:val="36"/>
          <w:szCs w:val="36"/>
        </w:rPr>
        <w:t>第五部分 投标文件格式</w:t>
      </w:r>
    </w:p>
    <w:p>
      <w:pPr>
        <w:pStyle w:val="45"/>
        <w:jc w:val="left"/>
        <w:rPr>
          <w:rFonts w:ascii="宋体" w:hAnsi="宋体"/>
          <w:b/>
          <w:spacing w:val="10"/>
          <w:sz w:val="24"/>
        </w:rPr>
      </w:pPr>
      <w:r>
        <w:rPr>
          <w:rFonts w:hint="eastAsia" w:ascii="宋体" w:hAnsi="宋体"/>
          <w:b/>
          <w:spacing w:val="10"/>
          <w:sz w:val="24"/>
        </w:rPr>
        <w:t xml:space="preserve">    目 录 </w:t>
      </w:r>
    </w:p>
    <w:p>
      <w:pPr>
        <w:spacing w:line="500" w:lineRule="exact"/>
        <w:ind w:firstLine="520" w:firstLineChars="200"/>
        <w:rPr>
          <w:rFonts w:ascii="宋体" w:hAnsi="宋体"/>
          <w:spacing w:val="10"/>
          <w:sz w:val="24"/>
        </w:rPr>
      </w:pPr>
      <w:r>
        <w:rPr>
          <w:rFonts w:hint="eastAsia" w:ascii="宋体" w:hAnsi="宋体"/>
          <w:spacing w:val="10"/>
          <w:sz w:val="24"/>
        </w:rPr>
        <w:t>一、投标书</w:t>
      </w:r>
    </w:p>
    <w:p>
      <w:pPr>
        <w:spacing w:line="500" w:lineRule="exact"/>
        <w:ind w:firstLine="520" w:firstLineChars="200"/>
        <w:rPr>
          <w:rFonts w:ascii="宋体" w:hAnsi="宋体"/>
          <w:spacing w:val="10"/>
          <w:sz w:val="24"/>
        </w:rPr>
      </w:pPr>
      <w:r>
        <w:rPr>
          <w:rFonts w:hint="eastAsia" w:ascii="宋体" w:hAnsi="宋体"/>
          <w:spacing w:val="10"/>
          <w:sz w:val="24"/>
        </w:rPr>
        <w:t xml:space="preserve">二、开标一览表 </w:t>
      </w:r>
    </w:p>
    <w:p>
      <w:pPr>
        <w:spacing w:line="500" w:lineRule="exact"/>
        <w:ind w:firstLine="520" w:firstLineChars="200"/>
        <w:rPr>
          <w:rFonts w:ascii="宋体" w:hAnsi="宋体"/>
          <w:spacing w:val="10"/>
          <w:sz w:val="24"/>
        </w:rPr>
      </w:pPr>
      <w:r>
        <w:rPr>
          <w:rFonts w:hint="eastAsia" w:ascii="宋体" w:hAnsi="宋体"/>
          <w:spacing w:val="10"/>
          <w:sz w:val="24"/>
        </w:rPr>
        <w:t>三、法定代表人授权书</w:t>
      </w:r>
    </w:p>
    <w:p>
      <w:pPr>
        <w:spacing w:line="500" w:lineRule="exact"/>
        <w:ind w:firstLine="520" w:firstLineChars="200"/>
        <w:rPr>
          <w:rFonts w:ascii="宋体" w:hAnsi="宋体"/>
          <w:spacing w:val="10"/>
          <w:sz w:val="24"/>
        </w:rPr>
      </w:pPr>
      <w:r>
        <w:rPr>
          <w:rFonts w:hint="eastAsia" w:ascii="宋体" w:hAnsi="宋体"/>
          <w:spacing w:val="10"/>
          <w:sz w:val="24"/>
        </w:rPr>
        <w:t>四、投标价格表（报价内容含设计、制作、布展、文创、物料等招标文件第三部分所述各项服务）</w:t>
      </w:r>
    </w:p>
    <w:p>
      <w:pPr>
        <w:spacing w:line="500" w:lineRule="exact"/>
        <w:ind w:firstLine="520" w:firstLineChars="200"/>
        <w:rPr>
          <w:rFonts w:ascii="宋体" w:hAnsi="宋体"/>
          <w:spacing w:val="10"/>
          <w:sz w:val="24"/>
        </w:rPr>
      </w:pPr>
      <w:r>
        <w:rPr>
          <w:rFonts w:hint="eastAsia" w:ascii="宋体" w:hAnsi="宋体"/>
          <w:spacing w:val="10"/>
          <w:sz w:val="24"/>
        </w:rPr>
        <w:t>五、设计方案（A3纸）</w:t>
      </w:r>
    </w:p>
    <w:p>
      <w:pPr>
        <w:spacing w:line="500" w:lineRule="exact"/>
        <w:ind w:firstLine="520" w:firstLineChars="200"/>
        <w:rPr>
          <w:rFonts w:ascii="宋体" w:hAnsi="宋体"/>
          <w:spacing w:val="10"/>
          <w:sz w:val="24"/>
        </w:rPr>
      </w:pPr>
      <w:r>
        <w:rPr>
          <w:rFonts w:hint="eastAsia" w:ascii="宋体" w:hAnsi="宋体"/>
          <w:spacing w:val="10"/>
          <w:sz w:val="24"/>
        </w:rPr>
        <w:t>六、概念效果图（A3纸）</w:t>
      </w:r>
    </w:p>
    <w:p>
      <w:pPr>
        <w:spacing w:line="500" w:lineRule="exact"/>
        <w:ind w:firstLine="520" w:firstLineChars="200"/>
        <w:rPr>
          <w:rFonts w:ascii="宋体" w:hAnsi="宋体"/>
          <w:spacing w:val="10"/>
          <w:sz w:val="24"/>
        </w:rPr>
      </w:pPr>
      <w:r>
        <w:rPr>
          <w:rFonts w:hint="eastAsia" w:ascii="宋体" w:hAnsi="宋体"/>
          <w:spacing w:val="10"/>
          <w:sz w:val="24"/>
        </w:rPr>
        <w:t>七、资格证明文件（包括营业执照复印件、各类证书复印件、项目业绩等）</w:t>
      </w:r>
    </w:p>
    <w:p>
      <w:pPr>
        <w:spacing w:line="500" w:lineRule="exact"/>
        <w:ind w:firstLine="520" w:firstLineChars="200"/>
        <w:rPr>
          <w:rFonts w:ascii="宋体" w:hAnsi="宋体"/>
          <w:spacing w:val="10"/>
          <w:sz w:val="24"/>
        </w:rPr>
      </w:pPr>
      <w:r>
        <w:rPr>
          <w:rFonts w:hint="eastAsia" w:ascii="宋体" w:hAnsi="宋体"/>
          <w:spacing w:val="10"/>
          <w:sz w:val="24"/>
        </w:rPr>
        <w:t>八、售后服务承诺（展期免费维修，交通费乙方自理）</w:t>
      </w:r>
    </w:p>
    <w:p>
      <w:pPr>
        <w:spacing w:line="500" w:lineRule="exact"/>
        <w:ind w:firstLine="520" w:firstLineChars="200"/>
        <w:rPr>
          <w:rFonts w:hint="eastAsia" w:ascii="宋体" w:hAnsi="宋体"/>
          <w:spacing w:val="10"/>
          <w:sz w:val="24"/>
        </w:rPr>
      </w:pPr>
      <w:r>
        <w:rPr>
          <w:rFonts w:hint="eastAsia" w:ascii="宋体" w:hAnsi="宋体"/>
          <w:spacing w:val="10"/>
          <w:sz w:val="24"/>
        </w:rPr>
        <w:t>（注：投标文件“正本”1份，“副本”4份）</w:t>
      </w: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pStyle w:val="45"/>
        <w:rPr>
          <w:sz w:val="36"/>
          <w:szCs w:val="36"/>
        </w:rPr>
      </w:pPr>
    </w:p>
    <w:p>
      <w:pPr>
        <w:pStyle w:val="45"/>
        <w:jc w:val="center"/>
        <w:rPr>
          <w:sz w:val="36"/>
          <w:szCs w:val="36"/>
        </w:rPr>
      </w:pPr>
      <w:r>
        <w:rPr>
          <w:rFonts w:hint="eastAsia"/>
          <w:sz w:val="36"/>
          <w:szCs w:val="36"/>
        </w:rPr>
        <w:t>第六部分  合同格式</w:t>
      </w:r>
    </w:p>
    <w:tbl>
      <w:tblPr>
        <w:tblStyle w:val="22"/>
        <w:tblpPr w:leftFromText="180" w:rightFromText="180" w:vertAnchor="text" w:horzAnchor="page" w:tblpX="1471" w:tblpY="274"/>
        <w:tblOverlap w:val="never"/>
        <w:tblW w:w="9660" w:type="dxa"/>
        <w:tblInd w:w="0" w:type="dxa"/>
        <w:tblLayout w:type="fixed"/>
        <w:tblCellMar>
          <w:top w:w="0" w:type="dxa"/>
          <w:left w:w="108" w:type="dxa"/>
          <w:bottom w:w="0" w:type="dxa"/>
          <w:right w:w="108" w:type="dxa"/>
        </w:tblCellMar>
      </w:tblPr>
      <w:tblGrid>
        <w:gridCol w:w="5019"/>
        <w:gridCol w:w="4641"/>
      </w:tblGrid>
      <w:tr>
        <w:trPr>
          <w:trHeight w:val="612" w:hRule="atLeast"/>
        </w:trPr>
        <w:tc>
          <w:tcPr>
            <w:tcW w:w="5019" w:type="dxa"/>
          </w:tcPr>
          <w:p>
            <w:pPr>
              <w:tabs>
                <w:tab w:val="left" w:pos="2655"/>
              </w:tabs>
              <w:rPr>
                <w:rFonts w:ascii="宋体" w:hAnsi="宋体"/>
                <w:sz w:val="24"/>
              </w:rPr>
            </w:pPr>
            <w:r>
              <w:rPr>
                <w:rFonts w:hint="eastAsia" w:ascii="宋体" w:hAnsi="宋体"/>
                <w:sz w:val="24"/>
              </w:rPr>
              <w:t>甲方：上海交通大学</w:t>
            </w:r>
            <w:r>
              <w:rPr>
                <w:rFonts w:hint="eastAsia" w:ascii="宋体" w:hAnsi="宋体"/>
                <w:sz w:val="24"/>
                <w:lang w:eastAsia="zh-Hans"/>
              </w:rPr>
              <w:t>钱学森图书馆</w:t>
            </w:r>
            <w:r>
              <w:rPr>
                <w:rFonts w:ascii="宋体" w:hAnsi="宋体"/>
                <w:sz w:val="24"/>
              </w:rPr>
              <w:tab/>
            </w:r>
          </w:p>
        </w:tc>
        <w:tc>
          <w:tcPr>
            <w:tcW w:w="4641" w:type="dxa"/>
          </w:tcPr>
          <w:p>
            <w:pPr>
              <w:rPr>
                <w:rFonts w:ascii="宋体" w:hAnsi="宋体"/>
                <w:sz w:val="24"/>
              </w:rPr>
            </w:pPr>
            <w:r>
              <w:rPr>
                <w:rFonts w:hint="eastAsia" w:ascii="宋体" w:hAnsi="宋体"/>
                <w:sz w:val="24"/>
              </w:rPr>
              <w:t>乙方：（中标单位）</w:t>
            </w:r>
          </w:p>
        </w:tc>
      </w:tr>
    </w:tbl>
    <w:p>
      <w:pPr>
        <w:pStyle w:val="45"/>
        <w:jc w:val="center"/>
        <w:rPr>
          <w:sz w:val="36"/>
          <w:szCs w:val="36"/>
        </w:rPr>
      </w:pPr>
    </w:p>
    <w:p>
      <w:pPr>
        <w:spacing w:line="400" w:lineRule="exact"/>
        <w:rPr>
          <w:rFonts w:ascii="宋体" w:hAnsi="宋体"/>
          <w:sz w:val="24"/>
        </w:rPr>
      </w:pPr>
    </w:p>
    <w:p>
      <w:pPr>
        <w:spacing w:line="400" w:lineRule="exact"/>
        <w:ind w:firstLine="420" w:firstLineChars="175"/>
        <w:rPr>
          <w:rFonts w:ascii="宋体" w:hAnsi="宋体"/>
          <w:sz w:val="24"/>
        </w:rPr>
      </w:pPr>
      <w:r>
        <w:rPr>
          <w:rFonts w:hint="eastAsia" w:ascii="宋体" w:hAnsi="宋体"/>
          <w:sz w:val="24"/>
        </w:rPr>
        <w:t>双方同意按下述条款和条件签署本合同。</w:t>
      </w:r>
    </w:p>
    <w:p>
      <w:pPr>
        <w:spacing w:line="400" w:lineRule="exact"/>
        <w:ind w:firstLine="420" w:firstLineChars="175"/>
        <w:rPr>
          <w:rFonts w:ascii="宋体" w:hAnsi="宋体"/>
          <w:sz w:val="24"/>
        </w:rPr>
      </w:pPr>
    </w:p>
    <w:p>
      <w:pPr>
        <w:numPr>
          <w:ilvl w:val="0"/>
          <w:numId w:val="4"/>
        </w:numPr>
        <w:ind w:left="0" w:firstLine="420" w:firstLineChars="175"/>
        <w:rPr>
          <w:rFonts w:ascii="宋体" w:hAnsi="宋体"/>
          <w:b/>
          <w:sz w:val="24"/>
        </w:rPr>
      </w:pPr>
      <w:r>
        <w:rPr>
          <w:rFonts w:hint="eastAsia" w:ascii="宋体" w:hAnsi="宋体"/>
          <w:b/>
          <w:sz w:val="24"/>
        </w:rPr>
        <w:t>合同文件</w:t>
      </w:r>
    </w:p>
    <w:p>
      <w:pPr>
        <w:spacing w:line="400" w:lineRule="exact"/>
        <w:ind w:firstLine="420" w:firstLineChars="175"/>
        <w:rPr>
          <w:rFonts w:ascii="宋体" w:hAnsi="宋体"/>
          <w:sz w:val="24"/>
        </w:rPr>
      </w:pPr>
      <w:r>
        <w:rPr>
          <w:rFonts w:hint="eastAsia" w:ascii="宋体" w:hAnsi="宋体"/>
          <w:sz w:val="24"/>
        </w:rPr>
        <w:t>本合同所附的下列文件是本合同不可分割的组成部分：</w:t>
      </w:r>
    </w:p>
    <w:p>
      <w:pPr>
        <w:spacing w:line="400" w:lineRule="exact"/>
        <w:ind w:firstLine="385" w:firstLineChars="175"/>
        <w:rPr>
          <w:rFonts w:ascii="宋体" w:hAnsi="宋体"/>
          <w:b/>
          <w:bCs/>
          <w:sz w:val="22"/>
          <w:szCs w:val="22"/>
        </w:rPr>
      </w:pPr>
      <w:r>
        <w:rPr>
          <w:rFonts w:hint="eastAsia" w:ascii="宋体" w:hAnsi="宋体"/>
          <w:b/>
          <w:bCs/>
          <w:sz w:val="22"/>
          <w:szCs w:val="22"/>
        </w:rPr>
        <w:t>合同条款</w:t>
      </w:r>
    </w:p>
    <w:p>
      <w:pPr>
        <w:spacing w:line="400" w:lineRule="exact"/>
        <w:ind w:firstLine="385" w:firstLineChars="175"/>
        <w:rPr>
          <w:rFonts w:ascii="宋体" w:hAnsi="宋体"/>
          <w:b/>
          <w:bCs/>
          <w:sz w:val="22"/>
          <w:szCs w:val="22"/>
        </w:rPr>
      </w:pPr>
      <w:r>
        <w:rPr>
          <w:rFonts w:hint="eastAsia" w:ascii="宋体" w:hAnsi="宋体"/>
          <w:b/>
          <w:bCs/>
          <w:sz w:val="22"/>
          <w:szCs w:val="22"/>
        </w:rPr>
        <w:t>双方商定的附件</w:t>
      </w:r>
    </w:p>
    <w:p>
      <w:pPr>
        <w:spacing w:line="400" w:lineRule="exact"/>
        <w:ind w:firstLine="385" w:firstLineChars="175"/>
        <w:rPr>
          <w:rFonts w:ascii="宋体" w:hAnsi="宋体"/>
          <w:b/>
          <w:bCs/>
          <w:sz w:val="22"/>
          <w:szCs w:val="22"/>
        </w:rPr>
      </w:pPr>
      <w:r>
        <w:rPr>
          <w:rFonts w:hint="eastAsia" w:ascii="宋体" w:hAnsi="宋体"/>
          <w:b/>
          <w:bCs/>
          <w:sz w:val="22"/>
          <w:szCs w:val="22"/>
        </w:rPr>
        <w:t>附件1  价格清单</w:t>
      </w:r>
    </w:p>
    <w:p>
      <w:pPr>
        <w:spacing w:line="400" w:lineRule="exact"/>
        <w:ind w:firstLine="385" w:firstLineChars="175"/>
        <w:rPr>
          <w:rFonts w:ascii="宋体" w:hAnsi="宋体"/>
          <w:b/>
          <w:bCs/>
          <w:sz w:val="22"/>
          <w:szCs w:val="22"/>
        </w:rPr>
      </w:pPr>
      <w:r>
        <w:rPr>
          <w:rFonts w:hint="eastAsia" w:ascii="宋体" w:hAnsi="宋体"/>
          <w:b/>
          <w:bCs/>
          <w:sz w:val="22"/>
          <w:szCs w:val="22"/>
        </w:rPr>
        <w:t>附件2  设计方案</w:t>
      </w:r>
    </w:p>
    <w:p>
      <w:pPr>
        <w:spacing w:line="400" w:lineRule="exact"/>
        <w:ind w:firstLine="385" w:firstLineChars="175"/>
        <w:rPr>
          <w:rFonts w:ascii="宋体" w:hAnsi="宋体"/>
          <w:b/>
          <w:bCs/>
          <w:sz w:val="22"/>
          <w:szCs w:val="22"/>
        </w:rPr>
      </w:pPr>
      <w:r>
        <w:rPr>
          <w:rFonts w:hint="eastAsia" w:ascii="宋体" w:hAnsi="宋体"/>
          <w:b/>
          <w:bCs/>
          <w:sz w:val="22"/>
          <w:szCs w:val="22"/>
        </w:rPr>
        <w:t>附件3  概念效果图</w:t>
      </w:r>
    </w:p>
    <w:p>
      <w:pPr>
        <w:spacing w:line="400" w:lineRule="exact"/>
        <w:ind w:firstLine="385" w:firstLineChars="175"/>
        <w:rPr>
          <w:rFonts w:ascii="宋体" w:hAnsi="宋体"/>
          <w:b/>
          <w:bCs/>
          <w:sz w:val="22"/>
          <w:szCs w:val="22"/>
        </w:rPr>
      </w:pPr>
      <w:r>
        <w:rPr>
          <w:rFonts w:hint="eastAsia" w:ascii="宋体" w:hAnsi="宋体"/>
          <w:b/>
          <w:bCs/>
          <w:sz w:val="22"/>
          <w:szCs w:val="22"/>
        </w:rPr>
        <w:t>附件4  服务条款</w:t>
      </w:r>
    </w:p>
    <w:p>
      <w:pPr>
        <w:spacing w:line="400" w:lineRule="exact"/>
        <w:ind w:firstLine="385" w:firstLineChars="175"/>
        <w:rPr>
          <w:rFonts w:ascii="宋体" w:hAnsi="宋体"/>
          <w:sz w:val="24"/>
        </w:rPr>
      </w:pPr>
      <w:r>
        <w:rPr>
          <w:rFonts w:hint="eastAsia" w:ascii="宋体" w:hAnsi="宋体"/>
          <w:b/>
          <w:bCs/>
          <w:sz w:val="22"/>
          <w:szCs w:val="22"/>
        </w:rPr>
        <w:t>其他构成本合同的文件</w:t>
      </w:r>
    </w:p>
    <w:p>
      <w:pPr>
        <w:spacing w:line="400" w:lineRule="exact"/>
        <w:ind w:firstLine="420" w:firstLineChars="175"/>
        <w:rPr>
          <w:rFonts w:ascii="宋体" w:hAnsi="宋体"/>
          <w:sz w:val="24"/>
        </w:rPr>
      </w:pPr>
    </w:p>
    <w:p>
      <w:pPr>
        <w:spacing w:line="400" w:lineRule="exact"/>
        <w:ind w:firstLine="420" w:firstLineChars="175"/>
        <w:rPr>
          <w:rFonts w:ascii="宋体" w:hAnsi="宋体"/>
          <w:sz w:val="24"/>
        </w:rPr>
      </w:pPr>
      <w:r>
        <w:rPr>
          <w:rFonts w:hint="eastAsia" w:ascii="宋体" w:hAnsi="宋体"/>
          <w:sz w:val="24"/>
        </w:rPr>
        <w:t>一旦合同文件之间出现意思含混或矛盾之处，上述合同文件以自上而下为优先解释顺序。</w:t>
      </w:r>
    </w:p>
    <w:p>
      <w:pPr>
        <w:autoSpaceDE w:val="0"/>
        <w:ind w:firstLine="420" w:firstLineChars="175"/>
        <w:rPr>
          <w:rFonts w:ascii="宋体" w:hAnsi="宋体"/>
          <w:b/>
          <w:sz w:val="24"/>
        </w:rPr>
      </w:pPr>
    </w:p>
    <w:p>
      <w:pPr>
        <w:autoSpaceDE w:val="0"/>
        <w:ind w:firstLine="420" w:firstLineChars="175"/>
        <w:rPr>
          <w:rFonts w:ascii="宋体" w:hAnsi="宋体"/>
          <w:b/>
          <w:sz w:val="24"/>
        </w:rPr>
      </w:pPr>
    </w:p>
    <w:p>
      <w:pPr>
        <w:autoSpaceDE w:val="0"/>
        <w:ind w:firstLine="420" w:firstLineChars="175"/>
        <w:rPr>
          <w:rFonts w:ascii="宋体" w:hAnsi="宋体"/>
          <w:b/>
          <w:sz w:val="24"/>
        </w:rPr>
      </w:pPr>
      <w:r>
        <w:rPr>
          <w:rFonts w:hint="eastAsia" w:ascii="宋体" w:hAnsi="宋体"/>
          <w:b/>
          <w:sz w:val="24"/>
        </w:rPr>
        <w:t>二、合同价格</w:t>
      </w:r>
    </w:p>
    <w:p>
      <w:pPr>
        <w:spacing w:line="400" w:lineRule="exact"/>
        <w:ind w:firstLine="420" w:firstLineChars="175"/>
        <w:rPr>
          <w:rFonts w:ascii="宋体" w:hAnsi="宋体"/>
          <w:sz w:val="24"/>
        </w:rPr>
      </w:pPr>
      <w:r>
        <w:rPr>
          <w:rFonts w:hint="eastAsia" w:ascii="宋体" w:hAnsi="宋体"/>
          <w:sz w:val="24"/>
        </w:rPr>
        <w:t>本合同总价为：XX万左右人民币元，合同价附明细表。</w:t>
      </w:r>
    </w:p>
    <w:p>
      <w:pPr>
        <w:spacing w:line="400" w:lineRule="exact"/>
        <w:ind w:firstLine="420" w:firstLineChars="175"/>
        <w:rPr>
          <w:rFonts w:ascii="宋体" w:hAnsi="宋体"/>
          <w:sz w:val="24"/>
        </w:rPr>
      </w:pPr>
      <w:r>
        <w:rPr>
          <w:rFonts w:hint="eastAsia" w:ascii="宋体" w:hAnsi="宋体"/>
          <w:sz w:val="24"/>
        </w:rPr>
        <w:t>本合同为总价合同，严格意义上除不可抗力外，合同总价将不再作任何调整，如需调整，需实时签订设计变更单。</w:t>
      </w:r>
    </w:p>
    <w:p>
      <w:pPr>
        <w:spacing w:line="400" w:lineRule="exact"/>
        <w:ind w:firstLine="420" w:firstLineChars="175"/>
        <w:rPr>
          <w:rFonts w:ascii="宋体" w:hAnsi="宋体"/>
          <w:sz w:val="24"/>
        </w:rPr>
      </w:pPr>
    </w:p>
    <w:p>
      <w:pPr>
        <w:autoSpaceDE w:val="0"/>
        <w:ind w:firstLine="420" w:firstLineChars="175"/>
        <w:rPr>
          <w:rFonts w:ascii="宋体" w:hAnsi="宋体"/>
          <w:b/>
          <w:sz w:val="24"/>
        </w:rPr>
      </w:pPr>
      <w:r>
        <w:rPr>
          <w:rFonts w:hint="eastAsia" w:ascii="宋体" w:hAnsi="宋体"/>
          <w:b/>
          <w:sz w:val="24"/>
        </w:rPr>
        <w:t>三、支付条款</w:t>
      </w:r>
    </w:p>
    <w:p>
      <w:pPr>
        <w:spacing w:line="400" w:lineRule="exact"/>
        <w:ind w:firstLine="420" w:firstLineChars="175"/>
        <w:rPr>
          <w:rFonts w:ascii="宋体" w:hAnsi="宋体"/>
          <w:sz w:val="24"/>
        </w:rPr>
      </w:pPr>
      <w:r>
        <w:rPr>
          <w:rFonts w:hint="eastAsia" w:ascii="宋体" w:hAnsi="宋体"/>
          <w:sz w:val="24"/>
        </w:rPr>
        <w:t>1、支付货币为人民币。</w:t>
      </w:r>
    </w:p>
    <w:p>
      <w:pPr>
        <w:spacing w:line="400" w:lineRule="exact"/>
        <w:ind w:firstLine="420" w:firstLineChars="175"/>
        <w:rPr>
          <w:rFonts w:ascii="宋体" w:hAnsi="宋体"/>
          <w:sz w:val="24"/>
        </w:rPr>
      </w:pPr>
      <w:r>
        <w:rPr>
          <w:rFonts w:hint="eastAsia" w:ascii="宋体" w:hAnsi="宋体"/>
          <w:sz w:val="24"/>
        </w:rPr>
        <w:t>2、付款方式</w:t>
      </w:r>
    </w:p>
    <w:p>
      <w:pPr>
        <w:spacing w:line="400" w:lineRule="exact"/>
        <w:ind w:firstLine="420" w:firstLineChars="175"/>
        <w:rPr>
          <w:rFonts w:ascii="宋体" w:hAnsi="宋体"/>
          <w:sz w:val="24"/>
        </w:rPr>
      </w:pPr>
      <w:r>
        <w:rPr>
          <w:rFonts w:hint="eastAsia" w:ascii="宋体" w:hAnsi="宋体"/>
          <w:sz w:val="24"/>
        </w:rPr>
        <w:t>2-1. 合同生效，甲方支付乙方“一体化总款”30%；开始进场施工1周内甲方支付乙方“一体化总款”50%； 撤展甲方支付乙方“一体化总款”20%.展览期间，如出现任何质量问题，乙方应在24小时内修复，否则视为乙方违约。</w:t>
      </w:r>
    </w:p>
    <w:p>
      <w:pPr>
        <w:spacing w:line="400" w:lineRule="exact"/>
        <w:ind w:firstLine="420" w:firstLineChars="175"/>
        <w:rPr>
          <w:rFonts w:ascii="宋体" w:hAnsi="宋体"/>
          <w:sz w:val="24"/>
        </w:rPr>
      </w:pPr>
    </w:p>
    <w:p>
      <w:pPr>
        <w:ind w:firstLine="420" w:firstLineChars="175"/>
        <w:rPr>
          <w:rFonts w:ascii="宋体" w:hAnsi="宋体"/>
          <w:b/>
          <w:sz w:val="24"/>
        </w:rPr>
      </w:pPr>
      <w:r>
        <w:rPr>
          <w:rFonts w:hint="eastAsia" w:ascii="宋体" w:hAnsi="宋体"/>
          <w:b/>
          <w:sz w:val="24"/>
        </w:rPr>
        <w:t>四、合同生效</w:t>
      </w:r>
    </w:p>
    <w:p>
      <w:pPr>
        <w:ind w:firstLine="420" w:firstLineChars="175"/>
        <w:rPr>
          <w:rFonts w:ascii="宋体" w:hAnsi="宋体"/>
          <w:sz w:val="24"/>
        </w:rPr>
      </w:pPr>
      <w:r>
        <w:rPr>
          <w:rFonts w:hint="eastAsia" w:ascii="宋体" w:hAnsi="宋体"/>
          <w:sz w:val="24"/>
        </w:rPr>
        <w:t>本合同经双方签字盖章后，即开始生效。</w:t>
      </w:r>
    </w:p>
    <w:tbl>
      <w:tblPr>
        <w:tblStyle w:val="22"/>
        <w:tblpPr w:leftFromText="180" w:rightFromText="180" w:vertAnchor="text" w:horzAnchor="page" w:tblpX="1030" w:tblpY="301"/>
        <w:tblOverlap w:val="never"/>
        <w:tblW w:w="9820" w:type="dxa"/>
        <w:tblInd w:w="0" w:type="dxa"/>
        <w:tblLayout w:type="fixed"/>
        <w:tblCellMar>
          <w:top w:w="0" w:type="dxa"/>
          <w:left w:w="108" w:type="dxa"/>
          <w:bottom w:w="0" w:type="dxa"/>
          <w:right w:w="108" w:type="dxa"/>
        </w:tblCellMar>
      </w:tblPr>
      <w:tblGrid>
        <w:gridCol w:w="5103"/>
        <w:gridCol w:w="4717"/>
      </w:tblGrid>
      <w:tr>
        <w:trPr>
          <w:trHeight w:val="792" w:hRule="atLeast"/>
        </w:trPr>
        <w:tc>
          <w:tcPr>
            <w:tcW w:w="5103" w:type="dxa"/>
          </w:tcPr>
          <w:p>
            <w:pPr>
              <w:tabs>
                <w:tab w:val="left" w:pos="2655"/>
              </w:tabs>
              <w:rPr>
                <w:rFonts w:ascii="宋体" w:hAnsi="宋体"/>
                <w:sz w:val="24"/>
              </w:rPr>
            </w:pPr>
            <w:r>
              <w:rPr>
                <w:rFonts w:hint="eastAsia" w:ascii="宋体" w:hAnsi="宋体"/>
                <w:sz w:val="24"/>
              </w:rPr>
              <w:t>甲方：上海交通大学</w:t>
            </w:r>
            <w:r>
              <w:rPr>
                <w:rFonts w:hint="eastAsia" w:ascii="宋体" w:hAnsi="宋体"/>
                <w:sz w:val="24"/>
                <w:lang w:eastAsia="zh-Hans"/>
              </w:rPr>
              <w:t>钱学森图书馆</w:t>
            </w:r>
            <w:r>
              <w:rPr>
                <w:rFonts w:ascii="宋体" w:hAnsi="宋体"/>
                <w:sz w:val="24"/>
              </w:rPr>
              <w:tab/>
            </w:r>
          </w:p>
        </w:tc>
        <w:tc>
          <w:tcPr>
            <w:tcW w:w="4717" w:type="dxa"/>
          </w:tcPr>
          <w:p>
            <w:pPr>
              <w:rPr>
                <w:rFonts w:ascii="宋体" w:hAnsi="宋体"/>
                <w:sz w:val="24"/>
              </w:rPr>
            </w:pPr>
            <w:r>
              <w:rPr>
                <w:rFonts w:hint="eastAsia" w:ascii="宋体" w:hAnsi="宋体"/>
                <w:sz w:val="24"/>
              </w:rPr>
              <w:t>乙方：（中标单位）</w:t>
            </w:r>
          </w:p>
        </w:tc>
      </w:tr>
      <w:tr>
        <w:trPr>
          <w:trHeight w:val="792" w:hRule="atLeast"/>
        </w:trPr>
        <w:tc>
          <w:tcPr>
            <w:tcW w:w="5103" w:type="dxa"/>
          </w:tcPr>
          <w:p>
            <w:pPr>
              <w:rPr>
                <w:rFonts w:ascii="宋体" w:hAnsi="宋体"/>
                <w:sz w:val="24"/>
              </w:rPr>
            </w:pPr>
            <w:r>
              <w:rPr>
                <w:rFonts w:hint="eastAsia" w:ascii="宋体" w:hAnsi="宋体"/>
                <w:sz w:val="24"/>
              </w:rPr>
              <w:t xml:space="preserve">甲方授权代表：                         </w:t>
            </w:r>
          </w:p>
        </w:tc>
        <w:tc>
          <w:tcPr>
            <w:tcW w:w="4717" w:type="dxa"/>
          </w:tcPr>
          <w:p>
            <w:pPr>
              <w:rPr>
                <w:rFonts w:ascii="宋体" w:hAnsi="宋体"/>
                <w:sz w:val="24"/>
              </w:rPr>
            </w:pPr>
            <w:r>
              <w:rPr>
                <w:rFonts w:hint="eastAsia" w:ascii="宋体" w:hAnsi="宋体"/>
                <w:sz w:val="24"/>
              </w:rPr>
              <w:t>乙方授权代表：</w:t>
            </w:r>
          </w:p>
        </w:tc>
      </w:tr>
      <w:tr>
        <w:trPr>
          <w:trHeight w:val="792" w:hRule="atLeast"/>
        </w:trPr>
        <w:tc>
          <w:tcPr>
            <w:tcW w:w="5103" w:type="dxa"/>
          </w:tcPr>
          <w:p>
            <w:pPr>
              <w:rPr>
                <w:rFonts w:ascii="宋体" w:hAnsi="宋体"/>
                <w:sz w:val="24"/>
              </w:rPr>
            </w:pPr>
            <w:r>
              <w:rPr>
                <w:rFonts w:hint="eastAsia" w:ascii="宋体" w:hAnsi="宋体"/>
                <w:sz w:val="24"/>
              </w:rPr>
              <w:t>地址：</w:t>
            </w:r>
          </w:p>
        </w:tc>
        <w:tc>
          <w:tcPr>
            <w:tcW w:w="4717" w:type="dxa"/>
          </w:tcPr>
          <w:p>
            <w:pPr>
              <w:rPr>
                <w:rFonts w:ascii="宋体" w:hAnsi="宋体"/>
                <w:sz w:val="24"/>
              </w:rPr>
            </w:pPr>
            <w:r>
              <w:rPr>
                <w:rFonts w:hint="eastAsia" w:ascii="宋体" w:hAnsi="宋体"/>
                <w:sz w:val="24"/>
              </w:rPr>
              <w:t>地址：</w:t>
            </w:r>
          </w:p>
        </w:tc>
      </w:tr>
    </w:tbl>
    <w:p>
      <w:pPr>
        <w:ind w:firstLine="465"/>
        <w:rPr>
          <w:rFonts w:ascii="宋体" w:hAnsi="宋体"/>
          <w:sz w:val="24"/>
        </w:rPr>
      </w:pPr>
    </w:p>
    <w:p>
      <w:pPr>
        <w:spacing w:line="500" w:lineRule="exact"/>
        <w:rPr>
          <w:rFonts w:ascii="宋体" w:hAnsi="宋体"/>
          <w:spacing w:val="10"/>
          <w:sz w:val="24"/>
        </w:rPr>
      </w:pPr>
    </w:p>
    <w:p>
      <w:pPr>
        <w:spacing w:line="500" w:lineRule="exact"/>
        <w:rPr>
          <w:rFonts w:ascii="宋体" w:hAnsi="宋体"/>
          <w:spacing w:val="10"/>
          <w:sz w:val="24"/>
        </w:rPr>
      </w:pPr>
    </w:p>
    <w:sectPr>
      <w:footerReference r:id="rId5" w:type="first"/>
      <w:headerReference r:id="rId3" w:type="default"/>
      <w:footerReference r:id="rId4"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MingLiU">
    <w:altName w:val="宋体-繁"/>
    <w:panose1 w:val="02010609000101010101"/>
    <w:charset w:val="88"/>
    <w:family w:val="modern"/>
    <w:pitch w:val="default"/>
    <w:sig w:usb0="00000000" w:usb1="00000000" w:usb2="00000016" w:usb3="00000000" w:csb0="00100001" w:csb1="00000000"/>
  </w:font>
  <w:font w:name="华文细黑">
    <w:altName w:val="黑体-简"/>
    <w:panose1 w:val="02010600040101010101"/>
    <w:charset w:val="86"/>
    <w:family w:val="auto"/>
    <w:pitch w:val="default"/>
    <w:sig w:usb0="00000000" w:usb1="00000000" w:usb2="00000010" w:usb3="00000000" w:csb0="0004009F" w:csb1="00000000"/>
  </w:font>
  <w:font w:name="新宋体">
    <w:altName w:val="方正书宋_GBK"/>
    <w:panose1 w:val="0201060903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黑体-简">
    <w:panose1 w:val="02000000000000000000"/>
    <w:charset w:val="86"/>
    <w:family w:val="auto"/>
    <w:pitch w:val="default"/>
    <w:sig w:usb0="8000002F" w:usb1="0800004A" w:usb2="00000000" w:usb3="00000000" w:csb0="203E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Songti SC Regular">
    <w:panose1 w:val="02010800040101010101"/>
    <w:charset w:val="86"/>
    <w:family w:val="auto"/>
    <w:pitch w:val="default"/>
    <w:sig w:usb0="00000001" w:usb1="080F0000" w:usb2="00000000" w:usb3="00000000" w:csb0="00040000" w:csb1="00000000"/>
  </w:font>
  <w:font w:name="Heiti SC Light">
    <w:panose1 w:val="02000000000000000000"/>
    <w:charset w:val="86"/>
    <w:family w:val="auto"/>
    <w:pitch w:val="default"/>
    <w:sig w:usb0="8000002F" w:usb1="0800004A" w:usb2="00000000" w:usb3="00000000" w:csb0="203E0000" w:csb1="00000000"/>
  </w:font>
  <w:font w:name="华文宋体">
    <w:panose1 w:val="02010600040101010101"/>
    <w:charset w:val="86"/>
    <w:family w:val="auto"/>
    <w:pitch w:val="default"/>
    <w:sig w:usb0="80000287" w:usb1="280F3C52" w:usb2="00000016" w:usb3="00000000" w:csb0="0004001F" w:csb1="00000000"/>
  </w:font>
  <w:font w:name="新宋体">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058545" cy="196215"/>
              <wp:effectExtent l="0" t="0" r="0" b="0"/>
              <wp:wrapNone/>
              <wp:docPr id="2" name="文本框2"/>
              <wp:cNvGraphicFramePr/>
              <a:graphic xmlns:a="http://schemas.openxmlformats.org/drawingml/2006/main">
                <a:graphicData uri="http://schemas.microsoft.com/office/word/2010/wordprocessingShape">
                  <wps:wsp>
                    <wps:cNvSpPr txBox="1">
                      <a:spLocks noChangeArrowheads="1"/>
                    </wps:cNvSpPr>
                    <wps:spPr bwMode="auto">
                      <a:xfrm>
                        <a:off x="0" y="0"/>
                        <a:ext cx="1058545" cy="196215"/>
                      </a:xfrm>
                      <a:prstGeom prst="rect">
                        <a:avLst/>
                      </a:prstGeom>
                      <a:noFill/>
                      <a:ln>
                        <a:noFill/>
                      </a:ln>
                    </wps:spPr>
                    <wps:txbx>
                      <w:txbxContent>
                        <w:p>
                          <w:pPr>
                            <w:ind w:right="360"/>
                            <w:jc w:val="center"/>
                          </w:pPr>
                          <w:r>
                            <w:rPr>
                              <w:rFonts w:hint="eastAsia" w:ascii="微软雅黑" w:hAnsi="微软雅黑" w:eastAsia="微软雅黑"/>
                              <w:sz w:val="18"/>
                              <w:szCs w:val="18"/>
                            </w:rPr>
                            <w:t>第</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PAGE </w:instrText>
                          </w:r>
                          <w:r>
                            <w:rPr>
                              <w:rFonts w:ascii="微软雅黑" w:hAnsi="微软雅黑" w:eastAsia="微软雅黑"/>
                              <w:sz w:val="18"/>
                              <w:szCs w:val="18"/>
                            </w:rPr>
                            <w:fldChar w:fldCharType="separate"/>
                          </w:r>
                          <w:r>
                            <w:rPr>
                              <w:rStyle w:val="18"/>
                              <w:rFonts w:ascii="微软雅黑" w:hAnsi="微软雅黑" w:eastAsia="微软雅黑"/>
                              <w:sz w:val="18"/>
                              <w:szCs w:val="18"/>
                            </w:rPr>
                            <w:t>6</w:t>
                          </w:r>
                          <w:r>
                            <w:rPr>
                              <w:rFonts w:ascii="微软雅黑" w:hAnsi="微软雅黑" w:eastAsia="微软雅黑"/>
                              <w:sz w:val="18"/>
                              <w:szCs w:val="18"/>
                            </w:rPr>
                            <w:fldChar w:fldCharType="end"/>
                          </w:r>
                          <w:r>
                            <w:rPr>
                              <w:rStyle w:val="18"/>
                              <w:rFonts w:hint="eastAsia" w:ascii="微软雅黑" w:hAnsi="微软雅黑" w:eastAsia="微软雅黑"/>
                              <w:sz w:val="18"/>
                              <w:szCs w:val="18"/>
                            </w:rPr>
                            <w:t>页 共</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NUMPAGES </w:instrText>
                          </w:r>
                          <w:r>
                            <w:rPr>
                              <w:rFonts w:ascii="微软雅黑" w:hAnsi="微软雅黑" w:eastAsia="微软雅黑"/>
                              <w:sz w:val="18"/>
                              <w:szCs w:val="18"/>
                            </w:rPr>
                            <w:fldChar w:fldCharType="separate"/>
                          </w:r>
                          <w:r>
                            <w:rPr>
                              <w:rStyle w:val="18"/>
                              <w:rFonts w:ascii="微软雅黑" w:hAnsi="微软雅黑" w:eastAsia="微软雅黑"/>
                              <w:sz w:val="18"/>
                              <w:szCs w:val="18"/>
                            </w:rPr>
                            <w:t>18</w:t>
                          </w:r>
                          <w:r>
                            <w:rPr>
                              <w:rFonts w:ascii="微软雅黑" w:hAnsi="微软雅黑" w:eastAsia="微软雅黑"/>
                              <w:sz w:val="18"/>
                              <w:szCs w:val="18"/>
                            </w:rPr>
                            <w:fldChar w:fldCharType="end"/>
                          </w:r>
                          <w:r>
                            <w:rPr>
                              <w:rStyle w:val="18"/>
                              <w:rFonts w:hint="eastAsia" w:ascii="微软雅黑" w:hAnsi="微软雅黑" w:eastAsia="微软雅黑"/>
                              <w:sz w:val="18"/>
                              <w:szCs w:val="18"/>
                            </w:rPr>
                            <w:t>页</w:t>
                          </w:r>
                        </w:p>
                      </w:txbxContent>
                    </wps:txbx>
                    <wps:bodyPr rot="0" vert="horz" wrap="none" lIns="0" tIns="0" rIns="0" bIns="0" anchor="t" anchorCtr="0" upright="1">
                      <a:spAutoFit/>
                    </wps:bodyPr>
                  </wps:wsp>
                </a:graphicData>
              </a:graphic>
            </wp:anchor>
          </w:drawing>
        </mc:Choice>
        <mc:Fallback>
          <w:pict>
            <v:shape id="文本框2" o:spid="_x0000_s1026" o:spt="202" type="#_x0000_t202" style="position:absolute;left:0pt;margin-top:0pt;height:15.45pt;width:83.35pt;mso-position-horizontal:right;mso-position-horizontal-relative:margin;mso-wrap-style:none;z-index:251657216;mso-width-relative:page;mso-height-relative:page;" filled="f" stroked="f" coordsize="21600,21600" o:gfxdata="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Z38YPSAAAABAEAAA8AAAAAAAAAAQAgAAAAOAAAAGRycy9kb3du&#10;cmV2LnhtbFBLAQIUABQAAAAIAIdO4kBNsxiw7wEAALQDAAAOAAAAAAAAAAEAIAAAADcBAABkcnMv&#10;ZTJvRG9jLnhtbFBLBQYAAAAABgAGAFkBAACYBQAAAAA=&#10;">
              <v:fill on="f" focussize="0,0"/>
              <v:stroke on="f"/>
              <v:imagedata o:title=""/>
              <o:lock v:ext="edit" aspectratio="f"/>
              <v:textbox inset="0mm,0mm,0mm,0mm" style="mso-fit-shape-to-text:t;">
                <w:txbxContent>
                  <w:p>
                    <w:pPr>
                      <w:ind w:right="360"/>
                      <w:jc w:val="center"/>
                    </w:pPr>
                    <w:r>
                      <w:rPr>
                        <w:rFonts w:hint="eastAsia" w:ascii="微软雅黑" w:hAnsi="微软雅黑" w:eastAsia="微软雅黑"/>
                        <w:sz w:val="18"/>
                        <w:szCs w:val="18"/>
                      </w:rPr>
                      <w:t>第</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PAGE </w:instrText>
                    </w:r>
                    <w:r>
                      <w:rPr>
                        <w:rFonts w:ascii="微软雅黑" w:hAnsi="微软雅黑" w:eastAsia="微软雅黑"/>
                        <w:sz w:val="18"/>
                        <w:szCs w:val="18"/>
                      </w:rPr>
                      <w:fldChar w:fldCharType="separate"/>
                    </w:r>
                    <w:r>
                      <w:rPr>
                        <w:rStyle w:val="18"/>
                        <w:rFonts w:ascii="微软雅黑" w:hAnsi="微软雅黑" w:eastAsia="微软雅黑"/>
                        <w:sz w:val="18"/>
                        <w:szCs w:val="18"/>
                      </w:rPr>
                      <w:t>6</w:t>
                    </w:r>
                    <w:r>
                      <w:rPr>
                        <w:rFonts w:ascii="微软雅黑" w:hAnsi="微软雅黑" w:eastAsia="微软雅黑"/>
                        <w:sz w:val="18"/>
                        <w:szCs w:val="18"/>
                      </w:rPr>
                      <w:fldChar w:fldCharType="end"/>
                    </w:r>
                    <w:r>
                      <w:rPr>
                        <w:rStyle w:val="18"/>
                        <w:rFonts w:hint="eastAsia" w:ascii="微软雅黑" w:hAnsi="微软雅黑" w:eastAsia="微软雅黑"/>
                        <w:sz w:val="18"/>
                        <w:szCs w:val="18"/>
                      </w:rPr>
                      <w:t>页 共</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NUMPAGES </w:instrText>
                    </w:r>
                    <w:r>
                      <w:rPr>
                        <w:rFonts w:ascii="微软雅黑" w:hAnsi="微软雅黑" w:eastAsia="微软雅黑"/>
                        <w:sz w:val="18"/>
                        <w:szCs w:val="18"/>
                      </w:rPr>
                      <w:fldChar w:fldCharType="separate"/>
                    </w:r>
                    <w:r>
                      <w:rPr>
                        <w:rStyle w:val="18"/>
                        <w:rFonts w:ascii="微软雅黑" w:hAnsi="微软雅黑" w:eastAsia="微软雅黑"/>
                        <w:sz w:val="18"/>
                        <w:szCs w:val="18"/>
                      </w:rPr>
                      <w:t>18</w:t>
                    </w:r>
                    <w:r>
                      <w:rPr>
                        <w:rFonts w:ascii="微软雅黑" w:hAnsi="微软雅黑" w:eastAsia="微软雅黑"/>
                        <w:sz w:val="18"/>
                        <w:szCs w:val="18"/>
                      </w:rPr>
                      <w:fldChar w:fldCharType="end"/>
                    </w:r>
                    <w:r>
                      <w:rPr>
                        <w:rStyle w:val="18"/>
                        <w:rFonts w:hint="eastAsia" w:ascii="微软雅黑" w:hAnsi="微软雅黑" w:eastAsia="微软雅黑"/>
                        <w:sz w:val="18"/>
                        <w:szCs w:val="18"/>
                      </w:rPr>
                      <w:t>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7310" cy="153035"/>
              <wp:effectExtent l="0" t="0" r="0" b="0"/>
              <wp:wrapNone/>
              <wp:docPr id="1" name="文本框3"/>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3" o:spid="_x0000_s1026" o:spt="202" type="#_x0000_t202" style="position:absolute;left:0pt;margin-top:0pt;height:12.05pt;width:5.3pt;mso-position-horizontal:right;mso-position-horizontal-relative:margin;mso-wrap-style:none;z-index:251658240;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nqzVF0AAAAAMBAAAPAAAAAAAAAAEAIAAAADgAAABkcnMvZG93bnJldi54&#10;bWxQSwECFAAUAAAACACHTuJAqTpD6uwBAACyAwAADgAAAAAAAAABACAAAAA1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60" w:lineRule="exact"/>
      <w:jc w:val="center"/>
      <w:rPr>
        <w:rFonts w:ascii="宋体" w:hAnsi="宋体"/>
      </w:rPr>
    </w:pPr>
    <w:r>
      <w:rPr>
        <w:rFonts w:hint="eastAsia" w:ascii="宋体" w:hAnsi="宋体"/>
      </w:rPr>
      <w:t>展览“</w:t>
    </w:r>
    <w:r>
      <w:rPr>
        <w:rFonts w:hint="eastAsia" w:ascii="宋体" w:hAnsi="宋体"/>
        <w:lang w:eastAsia="zh-Hans"/>
      </w:rPr>
      <w:t>郭永怀</w:t>
    </w:r>
    <w:r>
      <w:rPr>
        <w:rFonts w:hint="eastAsia" w:ascii="宋体" w:hAnsi="宋体"/>
        <w:lang w:val="en-US" w:eastAsia="zh-Hans"/>
      </w:rPr>
      <w:t>生平事迹展</w:t>
    </w:r>
    <w:r>
      <w:rPr>
        <w:rFonts w:hint="eastAsia" w:ascii="宋体" w:hAnsi="宋体"/>
      </w:rPr>
      <w:t>”设计、制作、布展项目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japaneseCounting"/>
      <w:lvlText w:val="%1、"/>
      <w:lvlJc w:val="left"/>
      <w:pPr>
        <w:tabs>
          <w:tab w:val="left" w:pos="525"/>
        </w:tabs>
        <w:ind w:left="525" w:hanging="525"/>
      </w:pPr>
      <w:rPr>
        <w:rFonts w:hint="eastAsia"/>
      </w:rPr>
    </w:lvl>
  </w:abstractNum>
  <w:abstractNum w:abstractNumId="1">
    <w:nsid w:val="00000003"/>
    <w:multiLevelType w:val="multilevel"/>
    <w:tmpl w:val="00000003"/>
    <w:lvl w:ilvl="0" w:tentative="0">
      <w:start w:val="1"/>
      <w:numFmt w:val="decimal"/>
      <w:pStyle w:val="4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5"/>
    <w:multiLevelType w:val="multilevel"/>
    <w:tmpl w:val="00000005"/>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ascii="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B549D"/>
    <w:multiLevelType w:val="multilevel"/>
    <w:tmpl w:val="72AB549D"/>
    <w:lvl w:ilvl="0" w:tentative="0">
      <w:start w:val="1"/>
      <w:numFmt w:val="japaneseCounting"/>
      <w:lvlText w:val="%1，"/>
      <w:lvlJc w:val="left"/>
      <w:pPr>
        <w:ind w:left="1242" w:hanging="720"/>
      </w:pPr>
      <w:rPr>
        <w:rFonts w:hint="default"/>
      </w:rPr>
    </w:lvl>
    <w:lvl w:ilvl="1" w:tentative="0">
      <w:start w:val="1"/>
      <w:numFmt w:val="lowerLetter"/>
      <w:lvlText w:val="%2)"/>
      <w:lvlJc w:val="left"/>
      <w:pPr>
        <w:ind w:left="1362" w:hanging="420"/>
      </w:pPr>
    </w:lvl>
    <w:lvl w:ilvl="2" w:tentative="0">
      <w:start w:val="1"/>
      <w:numFmt w:val="lowerRoman"/>
      <w:lvlText w:val="%3."/>
      <w:lvlJc w:val="right"/>
      <w:pPr>
        <w:ind w:left="1782" w:hanging="420"/>
      </w:pPr>
    </w:lvl>
    <w:lvl w:ilvl="3" w:tentative="0">
      <w:start w:val="1"/>
      <w:numFmt w:val="decimal"/>
      <w:lvlText w:val="%4."/>
      <w:lvlJc w:val="left"/>
      <w:pPr>
        <w:ind w:left="2202" w:hanging="420"/>
      </w:pPr>
    </w:lvl>
    <w:lvl w:ilvl="4" w:tentative="0">
      <w:start w:val="1"/>
      <w:numFmt w:val="lowerLetter"/>
      <w:lvlText w:val="%5)"/>
      <w:lvlJc w:val="left"/>
      <w:pPr>
        <w:ind w:left="2622" w:hanging="420"/>
      </w:pPr>
    </w:lvl>
    <w:lvl w:ilvl="5" w:tentative="0">
      <w:start w:val="1"/>
      <w:numFmt w:val="lowerRoman"/>
      <w:lvlText w:val="%6."/>
      <w:lvlJc w:val="right"/>
      <w:pPr>
        <w:ind w:left="3042" w:hanging="420"/>
      </w:pPr>
    </w:lvl>
    <w:lvl w:ilvl="6" w:tentative="0">
      <w:start w:val="1"/>
      <w:numFmt w:val="decimal"/>
      <w:lvlText w:val="%7."/>
      <w:lvlJc w:val="left"/>
      <w:pPr>
        <w:ind w:left="3462" w:hanging="420"/>
      </w:pPr>
    </w:lvl>
    <w:lvl w:ilvl="7" w:tentative="0">
      <w:start w:val="1"/>
      <w:numFmt w:val="lowerLetter"/>
      <w:lvlText w:val="%8)"/>
      <w:lvlJc w:val="left"/>
      <w:pPr>
        <w:ind w:left="3882" w:hanging="420"/>
      </w:pPr>
    </w:lvl>
    <w:lvl w:ilvl="8" w:tentative="0">
      <w:start w:val="1"/>
      <w:numFmt w:val="lowerRoman"/>
      <w:lvlText w:val="%9."/>
      <w:lvlJc w:val="right"/>
      <w:pPr>
        <w:ind w:left="4302"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CE6"/>
    <w:rsid w:val="000251DD"/>
    <w:rsid w:val="000346B0"/>
    <w:rsid w:val="0003653D"/>
    <w:rsid w:val="00054615"/>
    <w:rsid w:val="00061BDA"/>
    <w:rsid w:val="00067296"/>
    <w:rsid w:val="00075522"/>
    <w:rsid w:val="000A02B7"/>
    <w:rsid w:val="000A7DA6"/>
    <w:rsid w:val="000B1B40"/>
    <w:rsid w:val="000B260B"/>
    <w:rsid w:val="000B2DCF"/>
    <w:rsid w:val="000B4948"/>
    <w:rsid w:val="000C4586"/>
    <w:rsid w:val="000E1AA1"/>
    <w:rsid w:val="000E7CB3"/>
    <w:rsid w:val="000F2DA5"/>
    <w:rsid w:val="000F6CA8"/>
    <w:rsid w:val="00100E71"/>
    <w:rsid w:val="00105540"/>
    <w:rsid w:val="00107317"/>
    <w:rsid w:val="0012123A"/>
    <w:rsid w:val="00126977"/>
    <w:rsid w:val="00131E96"/>
    <w:rsid w:val="001363EC"/>
    <w:rsid w:val="00141588"/>
    <w:rsid w:val="00150BFD"/>
    <w:rsid w:val="00153D84"/>
    <w:rsid w:val="0016431B"/>
    <w:rsid w:val="001666A5"/>
    <w:rsid w:val="00172A27"/>
    <w:rsid w:val="0017380C"/>
    <w:rsid w:val="001765C5"/>
    <w:rsid w:val="001B3DF4"/>
    <w:rsid w:val="001B6678"/>
    <w:rsid w:val="001E519A"/>
    <w:rsid w:val="001F0B42"/>
    <w:rsid w:val="0020186C"/>
    <w:rsid w:val="00205F47"/>
    <w:rsid w:val="00207D28"/>
    <w:rsid w:val="00234557"/>
    <w:rsid w:val="0024718F"/>
    <w:rsid w:val="00250D3B"/>
    <w:rsid w:val="002561CA"/>
    <w:rsid w:val="00262726"/>
    <w:rsid w:val="002707E5"/>
    <w:rsid w:val="00286CD6"/>
    <w:rsid w:val="00292870"/>
    <w:rsid w:val="002A2842"/>
    <w:rsid w:val="002B250F"/>
    <w:rsid w:val="002B728F"/>
    <w:rsid w:val="002E04C4"/>
    <w:rsid w:val="002E3130"/>
    <w:rsid w:val="0030367E"/>
    <w:rsid w:val="003178F5"/>
    <w:rsid w:val="00334185"/>
    <w:rsid w:val="00351F4F"/>
    <w:rsid w:val="003615EB"/>
    <w:rsid w:val="00362713"/>
    <w:rsid w:val="003657A7"/>
    <w:rsid w:val="00375263"/>
    <w:rsid w:val="0037788F"/>
    <w:rsid w:val="00382FC8"/>
    <w:rsid w:val="003A7473"/>
    <w:rsid w:val="003D4B8B"/>
    <w:rsid w:val="003E5CAD"/>
    <w:rsid w:val="00410072"/>
    <w:rsid w:val="004101BA"/>
    <w:rsid w:val="00414ECF"/>
    <w:rsid w:val="00415737"/>
    <w:rsid w:val="004219DC"/>
    <w:rsid w:val="00463C77"/>
    <w:rsid w:val="00480CBF"/>
    <w:rsid w:val="004863F3"/>
    <w:rsid w:val="00497B49"/>
    <w:rsid w:val="004A61B1"/>
    <w:rsid w:val="004A7F61"/>
    <w:rsid w:val="004C38B4"/>
    <w:rsid w:val="004D0E16"/>
    <w:rsid w:val="004D1B98"/>
    <w:rsid w:val="004F04FD"/>
    <w:rsid w:val="005017F7"/>
    <w:rsid w:val="00503DFA"/>
    <w:rsid w:val="00515418"/>
    <w:rsid w:val="00532370"/>
    <w:rsid w:val="00533C9A"/>
    <w:rsid w:val="00547C49"/>
    <w:rsid w:val="00551F61"/>
    <w:rsid w:val="00554B83"/>
    <w:rsid w:val="005615E9"/>
    <w:rsid w:val="00570CF8"/>
    <w:rsid w:val="00572916"/>
    <w:rsid w:val="00577CFA"/>
    <w:rsid w:val="00580D30"/>
    <w:rsid w:val="005813AB"/>
    <w:rsid w:val="00584C4C"/>
    <w:rsid w:val="005A1409"/>
    <w:rsid w:val="005B45EC"/>
    <w:rsid w:val="005B6014"/>
    <w:rsid w:val="005C6303"/>
    <w:rsid w:val="005C66F9"/>
    <w:rsid w:val="005F2872"/>
    <w:rsid w:val="006059BD"/>
    <w:rsid w:val="00613939"/>
    <w:rsid w:val="006151AC"/>
    <w:rsid w:val="006235AC"/>
    <w:rsid w:val="00626E64"/>
    <w:rsid w:val="006318DC"/>
    <w:rsid w:val="00631FE0"/>
    <w:rsid w:val="00632E02"/>
    <w:rsid w:val="00634B65"/>
    <w:rsid w:val="00642606"/>
    <w:rsid w:val="006602F0"/>
    <w:rsid w:val="00667C04"/>
    <w:rsid w:val="00685299"/>
    <w:rsid w:val="006A0EDB"/>
    <w:rsid w:val="006B5494"/>
    <w:rsid w:val="006D0BC2"/>
    <w:rsid w:val="006D7190"/>
    <w:rsid w:val="006F0CD2"/>
    <w:rsid w:val="006F3D66"/>
    <w:rsid w:val="0070170A"/>
    <w:rsid w:val="00702047"/>
    <w:rsid w:val="00711F25"/>
    <w:rsid w:val="00744AA8"/>
    <w:rsid w:val="00754826"/>
    <w:rsid w:val="00772C67"/>
    <w:rsid w:val="00773846"/>
    <w:rsid w:val="00774F55"/>
    <w:rsid w:val="00777356"/>
    <w:rsid w:val="00781239"/>
    <w:rsid w:val="00785797"/>
    <w:rsid w:val="00785FED"/>
    <w:rsid w:val="0078632E"/>
    <w:rsid w:val="00797AD9"/>
    <w:rsid w:val="007B0690"/>
    <w:rsid w:val="007D2F89"/>
    <w:rsid w:val="007E0019"/>
    <w:rsid w:val="007F005B"/>
    <w:rsid w:val="007F21D2"/>
    <w:rsid w:val="007F48F4"/>
    <w:rsid w:val="007F5EE9"/>
    <w:rsid w:val="00805555"/>
    <w:rsid w:val="00805B53"/>
    <w:rsid w:val="00812A79"/>
    <w:rsid w:val="00813B25"/>
    <w:rsid w:val="00827A7C"/>
    <w:rsid w:val="008403CD"/>
    <w:rsid w:val="00846456"/>
    <w:rsid w:val="00846789"/>
    <w:rsid w:val="008474D3"/>
    <w:rsid w:val="0085710D"/>
    <w:rsid w:val="00862564"/>
    <w:rsid w:val="008630D7"/>
    <w:rsid w:val="00867EC2"/>
    <w:rsid w:val="00870DBF"/>
    <w:rsid w:val="00880956"/>
    <w:rsid w:val="00894434"/>
    <w:rsid w:val="00894BC8"/>
    <w:rsid w:val="008A10AE"/>
    <w:rsid w:val="008A2D69"/>
    <w:rsid w:val="008C20FD"/>
    <w:rsid w:val="008F1DFA"/>
    <w:rsid w:val="008F3CDA"/>
    <w:rsid w:val="008F582C"/>
    <w:rsid w:val="00905384"/>
    <w:rsid w:val="00914E79"/>
    <w:rsid w:val="00917795"/>
    <w:rsid w:val="0091790D"/>
    <w:rsid w:val="00922865"/>
    <w:rsid w:val="0092340E"/>
    <w:rsid w:val="00926852"/>
    <w:rsid w:val="00927247"/>
    <w:rsid w:val="00937C3F"/>
    <w:rsid w:val="00942502"/>
    <w:rsid w:val="00952934"/>
    <w:rsid w:val="00966371"/>
    <w:rsid w:val="00986B38"/>
    <w:rsid w:val="009B220F"/>
    <w:rsid w:val="009B6141"/>
    <w:rsid w:val="009C2BD0"/>
    <w:rsid w:val="009C32DA"/>
    <w:rsid w:val="009E1134"/>
    <w:rsid w:val="009E4641"/>
    <w:rsid w:val="009F1D1C"/>
    <w:rsid w:val="00A05EFD"/>
    <w:rsid w:val="00A1706F"/>
    <w:rsid w:val="00A24213"/>
    <w:rsid w:val="00A252C7"/>
    <w:rsid w:val="00A5281B"/>
    <w:rsid w:val="00A54A7D"/>
    <w:rsid w:val="00A8147F"/>
    <w:rsid w:val="00A84AC8"/>
    <w:rsid w:val="00AA441D"/>
    <w:rsid w:val="00AA4BB8"/>
    <w:rsid w:val="00AB57B6"/>
    <w:rsid w:val="00AC0CA6"/>
    <w:rsid w:val="00AE5F7D"/>
    <w:rsid w:val="00AF40CA"/>
    <w:rsid w:val="00B06441"/>
    <w:rsid w:val="00B07645"/>
    <w:rsid w:val="00B137A9"/>
    <w:rsid w:val="00B17AC6"/>
    <w:rsid w:val="00B23DAB"/>
    <w:rsid w:val="00B347FA"/>
    <w:rsid w:val="00B54F1D"/>
    <w:rsid w:val="00B55A89"/>
    <w:rsid w:val="00B705E7"/>
    <w:rsid w:val="00B71187"/>
    <w:rsid w:val="00B948E4"/>
    <w:rsid w:val="00BA6BE4"/>
    <w:rsid w:val="00BA721D"/>
    <w:rsid w:val="00BC08FD"/>
    <w:rsid w:val="00BD15E2"/>
    <w:rsid w:val="00BD36E3"/>
    <w:rsid w:val="00BE1033"/>
    <w:rsid w:val="00BE613E"/>
    <w:rsid w:val="00C058F0"/>
    <w:rsid w:val="00C11534"/>
    <w:rsid w:val="00C17958"/>
    <w:rsid w:val="00C25EB0"/>
    <w:rsid w:val="00C453A7"/>
    <w:rsid w:val="00C66BA0"/>
    <w:rsid w:val="00C66D90"/>
    <w:rsid w:val="00C71AD8"/>
    <w:rsid w:val="00C84940"/>
    <w:rsid w:val="00CA16A1"/>
    <w:rsid w:val="00CB4662"/>
    <w:rsid w:val="00CE00D0"/>
    <w:rsid w:val="00D05A45"/>
    <w:rsid w:val="00D168E4"/>
    <w:rsid w:val="00D579C7"/>
    <w:rsid w:val="00D70C79"/>
    <w:rsid w:val="00D76C36"/>
    <w:rsid w:val="00D808D4"/>
    <w:rsid w:val="00D9205C"/>
    <w:rsid w:val="00D95A52"/>
    <w:rsid w:val="00DC0571"/>
    <w:rsid w:val="00DC3920"/>
    <w:rsid w:val="00DC46F0"/>
    <w:rsid w:val="00DC7F53"/>
    <w:rsid w:val="00DD79CA"/>
    <w:rsid w:val="00DF0DE4"/>
    <w:rsid w:val="00DF1E6F"/>
    <w:rsid w:val="00DF30EB"/>
    <w:rsid w:val="00DF3121"/>
    <w:rsid w:val="00DF3B06"/>
    <w:rsid w:val="00E009B9"/>
    <w:rsid w:val="00E0129B"/>
    <w:rsid w:val="00E03AAB"/>
    <w:rsid w:val="00E34EA2"/>
    <w:rsid w:val="00E420B7"/>
    <w:rsid w:val="00E66D7A"/>
    <w:rsid w:val="00EA5E6E"/>
    <w:rsid w:val="00ED215F"/>
    <w:rsid w:val="00ED344F"/>
    <w:rsid w:val="00ED5399"/>
    <w:rsid w:val="00EE7C10"/>
    <w:rsid w:val="00F028C8"/>
    <w:rsid w:val="00F17A07"/>
    <w:rsid w:val="00F319AE"/>
    <w:rsid w:val="00F33B8B"/>
    <w:rsid w:val="00F462F2"/>
    <w:rsid w:val="00F54580"/>
    <w:rsid w:val="00F5588F"/>
    <w:rsid w:val="00F6186A"/>
    <w:rsid w:val="00F76A3E"/>
    <w:rsid w:val="00F84AD3"/>
    <w:rsid w:val="00F87596"/>
    <w:rsid w:val="00F9043C"/>
    <w:rsid w:val="00F922DC"/>
    <w:rsid w:val="00FA4AE4"/>
    <w:rsid w:val="00FB55CA"/>
    <w:rsid w:val="00FE4970"/>
    <w:rsid w:val="00FF1561"/>
    <w:rsid w:val="036E799E"/>
    <w:rsid w:val="06DB4425"/>
    <w:rsid w:val="09FA13FB"/>
    <w:rsid w:val="0CFF3C54"/>
    <w:rsid w:val="102C4B1B"/>
    <w:rsid w:val="18587C0B"/>
    <w:rsid w:val="1A354C00"/>
    <w:rsid w:val="1A6D7109"/>
    <w:rsid w:val="1FEF9E6D"/>
    <w:rsid w:val="20EB0809"/>
    <w:rsid w:val="2B8F1305"/>
    <w:rsid w:val="30E13156"/>
    <w:rsid w:val="35025B80"/>
    <w:rsid w:val="3731476B"/>
    <w:rsid w:val="38861BC7"/>
    <w:rsid w:val="3ECFB919"/>
    <w:rsid w:val="4B8E1986"/>
    <w:rsid w:val="4C662391"/>
    <w:rsid w:val="4FD7EDEC"/>
    <w:rsid w:val="56EC6ABD"/>
    <w:rsid w:val="5A273885"/>
    <w:rsid w:val="5AEFCFB4"/>
    <w:rsid w:val="5DFE1B45"/>
    <w:rsid w:val="6FC24DA2"/>
    <w:rsid w:val="71422650"/>
    <w:rsid w:val="72A00302"/>
    <w:rsid w:val="73D95C34"/>
    <w:rsid w:val="77D8D188"/>
    <w:rsid w:val="7F778169"/>
    <w:rsid w:val="7F79D9A9"/>
    <w:rsid w:val="7F7D22C0"/>
    <w:rsid w:val="BCFE2D81"/>
    <w:rsid w:val="BFFFC053"/>
    <w:rsid w:val="CBEFED6A"/>
    <w:rsid w:val="CF7CDD1D"/>
    <w:rsid w:val="D3BB342E"/>
    <w:rsid w:val="EF7BCFCE"/>
    <w:rsid w:val="F7DFF9A5"/>
    <w:rsid w:val="FF4F4F47"/>
    <w:rsid w:val="FF4F79A6"/>
    <w:rsid w:val="FF5B1B28"/>
    <w:rsid w:val="FF8D71AF"/>
    <w:rsid w:val="FF9D703D"/>
    <w:rsid w:val="FFDED9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38"/>
    <w:qFormat/>
    <w:uiPriority w:val="0"/>
    <w:pPr>
      <w:keepNext/>
      <w:keepLines/>
      <w:adjustRightInd w:val="0"/>
      <w:spacing w:before="340" w:after="330" w:line="578" w:lineRule="auto"/>
      <w:textAlignment w:val="baseline"/>
      <w:outlineLvl w:val="0"/>
    </w:pPr>
    <w:rPr>
      <w:rFonts w:eastAsia="仿宋_GB2312"/>
      <w:b/>
      <w:kern w:val="44"/>
      <w:sz w:val="44"/>
      <w:szCs w:val="20"/>
      <w:lang w:val="zh-CN"/>
    </w:rPr>
  </w:style>
  <w:style w:type="paragraph" w:styleId="3">
    <w:name w:val="heading 2"/>
    <w:basedOn w:val="1"/>
    <w:next w:val="1"/>
    <w:link w:val="31"/>
    <w:qFormat/>
    <w:uiPriority w:val="0"/>
    <w:pPr>
      <w:keepNext/>
      <w:keepLines/>
      <w:spacing w:before="260" w:after="260" w:line="416" w:lineRule="auto"/>
      <w:outlineLvl w:val="1"/>
    </w:pPr>
    <w:rPr>
      <w:rFonts w:ascii="Cambria" w:hAnsi="Cambria"/>
      <w:b/>
      <w:bCs/>
      <w:kern w:val="0"/>
      <w:sz w:val="32"/>
      <w:szCs w:val="32"/>
      <w:lang w:val="zh-CN"/>
    </w:rPr>
  </w:style>
  <w:style w:type="character" w:default="1" w:styleId="17">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link w:val="39"/>
    <w:qFormat/>
    <w:uiPriority w:val="0"/>
    <w:rPr>
      <w:b/>
      <w:bCs/>
    </w:rPr>
  </w:style>
  <w:style w:type="paragraph" w:styleId="5">
    <w:name w:val="annotation text"/>
    <w:basedOn w:val="1"/>
    <w:link w:val="23"/>
    <w:qFormat/>
    <w:uiPriority w:val="0"/>
    <w:pPr>
      <w:jc w:val="left"/>
    </w:pPr>
    <w:rPr>
      <w:lang w:val="zh-CN"/>
    </w:rPr>
  </w:style>
  <w:style w:type="paragraph" w:styleId="6">
    <w:name w:val="Body Text Indent"/>
    <w:basedOn w:val="1"/>
    <w:link w:val="35"/>
    <w:qFormat/>
    <w:uiPriority w:val="0"/>
    <w:pPr>
      <w:spacing w:after="120"/>
      <w:ind w:left="420" w:leftChars="200"/>
    </w:pPr>
    <w:rPr>
      <w:lang w:val="zh-CN"/>
    </w:rPr>
  </w:style>
  <w:style w:type="paragraph" w:styleId="7">
    <w:name w:val="toc 3"/>
    <w:basedOn w:val="1"/>
    <w:next w:val="1"/>
    <w:qFormat/>
    <w:uiPriority w:val="0"/>
    <w:pPr>
      <w:widowControl/>
      <w:spacing w:after="100" w:line="276" w:lineRule="auto"/>
      <w:ind w:left="440"/>
      <w:jc w:val="left"/>
    </w:pPr>
    <w:rPr>
      <w:rFonts w:ascii="Calibri" w:hAnsi="Calibri"/>
      <w:kern w:val="0"/>
      <w:sz w:val="22"/>
      <w:szCs w:val="22"/>
    </w:rPr>
  </w:style>
  <w:style w:type="paragraph" w:styleId="8">
    <w:name w:val="Balloon Text"/>
    <w:basedOn w:val="1"/>
    <w:link w:val="28"/>
    <w:qFormat/>
    <w:uiPriority w:val="0"/>
    <w:rPr>
      <w:kern w:val="0"/>
      <w:sz w:val="18"/>
      <w:szCs w:val="18"/>
      <w:lang w:val="zh-CN"/>
    </w:rPr>
  </w:style>
  <w:style w:type="paragraph" w:styleId="9">
    <w:name w:val="footer"/>
    <w:basedOn w:val="1"/>
    <w:link w:val="29"/>
    <w:qFormat/>
    <w:uiPriority w:val="0"/>
    <w:pPr>
      <w:tabs>
        <w:tab w:val="center" w:pos="4153"/>
        <w:tab w:val="right" w:pos="8306"/>
      </w:tabs>
      <w:snapToGrid w:val="0"/>
      <w:jc w:val="left"/>
    </w:pPr>
    <w:rPr>
      <w:kern w:val="0"/>
      <w:sz w:val="18"/>
      <w:szCs w:val="18"/>
      <w:lang w:val="zh-CN"/>
    </w:rPr>
  </w:style>
  <w:style w:type="paragraph" w:styleId="10">
    <w:name w:val="Body Text First Indent 2"/>
    <w:basedOn w:val="1"/>
    <w:link w:val="34"/>
    <w:qFormat/>
    <w:uiPriority w:val="0"/>
    <w:pPr>
      <w:spacing w:after="120"/>
      <w:ind w:firstLine="420" w:firstLineChars="200"/>
    </w:p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2">
    <w:name w:val="toc 1"/>
    <w:basedOn w:val="1"/>
    <w:next w:val="1"/>
    <w:qFormat/>
    <w:uiPriority w:val="0"/>
    <w:pPr>
      <w:widowControl/>
      <w:tabs>
        <w:tab w:val="right" w:leader="dot" w:pos="9628"/>
      </w:tabs>
      <w:spacing w:after="100" w:line="276" w:lineRule="auto"/>
      <w:jc w:val="left"/>
    </w:pPr>
    <w:rPr>
      <w:rFonts w:ascii="Calibri" w:hAnsi="Calibri"/>
      <w:kern w:val="0"/>
      <w:sz w:val="22"/>
      <w:szCs w:val="22"/>
    </w:rPr>
  </w:style>
  <w:style w:type="paragraph" w:styleId="13">
    <w:name w:val="footnote text"/>
    <w:basedOn w:val="1"/>
    <w:link w:val="27"/>
    <w:qFormat/>
    <w:uiPriority w:val="0"/>
    <w:pPr>
      <w:snapToGrid w:val="0"/>
      <w:spacing w:line="300" w:lineRule="auto"/>
      <w:jc w:val="left"/>
    </w:pPr>
    <w:rPr>
      <w:sz w:val="18"/>
      <w:szCs w:val="18"/>
      <w:lang w:val="zh-CN"/>
    </w:rPr>
  </w:style>
  <w:style w:type="paragraph" w:styleId="14">
    <w:name w:val="toc 2"/>
    <w:basedOn w:val="1"/>
    <w:next w:val="1"/>
    <w:qFormat/>
    <w:uiPriority w:val="0"/>
    <w:pPr>
      <w:ind w:left="210"/>
      <w:jc w:val="left"/>
    </w:pPr>
    <w:rPr>
      <w:smallCaps/>
      <w:sz w:val="20"/>
      <w:szCs w:val="20"/>
    </w:rPr>
  </w:style>
  <w:style w:type="paragraph" w:styleId="15">
    <w:name w:val="Body Text 2"/>
    <w:basedOn w:val="1"/>
    <w:link w:val="44"/>
    <w:qFormat/>
    <w:uiPriority w:val="0"/>
    <w:pPr>
      <w:adjustRightInd w:val="0"/>
      <w:spacing w:after="120" w:line="480" w:lineRule="auto"/>
    </w:pPr>
    <w:rPr>
      <w:kern w:val="0"/>
      <w:szCs w:val="20"/>
      <w:lang w:val="zh-CN"/>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rFonts w:ascii="Arial" w:hAnsi="Arial"/>
      <w:color w:val="auto"/>
      <w:u w:val="none"/>
    </w:rPr>
  </w:style>
  <w:style w:type="character" w:styleId="20">
    <w:name w:val="annotation reference"/>
    <w:qFormat/>
    <w:uiPriority w:val="0"/>
    <w:rPr>
      <w:sz w:val="21"/>
      <w:szCs w:val="21"/>
    </w:rPr>
  </w:style>
  <w:style w:type="character" w:styleId="21">
    <w:name w:val="footnote reference"/>
    <w:qFormat/>
    <w:uiPriority w:val="0"/>
    <w:rPr>
      <w:vertAlign w:val="superscript"/>
    </w:rPr>
  </w:style>
  <w:style w:type="character" w:customStyle="1" w:styleId="23">
    <w:name w:val="批注文字 字符"/>
    <w:link w:val="5"/>
    <w:qFormat/>
    <w:uiPriority w:val="0"/>
    <w:rPr>
      <w:rFonts w:ascii="Times New Roman" w:hAnsi="Times New Roman"/>
      <w:kern w:val="2"/>
      <w:sz w:val="21"/>
      <w:szCs w:val="24"/>
    </w:rPr>
  </w:style>
  <w:style w:type="character" w:customStyle="1" w:styleId="24">
    <w:name w:val="封面小标题 Char Char"/>
    <w:link w:val="25"/>
    <w:qFormat/>
    <w:uiPriority w:val="0"/>
    <w:rPr>
      <w:rFonts w:ascii="黑体" w:hAnsi="黑体" w:eastAsia="黑体" w:cs="宋体"/>
      <w:b/>
      <w:bCs/>
      <w:sz w:val="36"/>
      <w:szCs w:val="20"/>
    </w:rPr>
  </w:style>
  <w:style w:type="paragraph" w:customStyle="1" w:styleId="25">
    <w:name w:val="封面小标题"/>
    <w:basedOn w:val="1"/>
    <w:link w:val="24"/>
    <w:qFormat/>
    <w:uiPriority w:val="0"/>
    <w:pPr>
      <w:jc w:val="center"/>
    </w:pPr>
    <w:rPr>
      <w:rFonts w:ascii="黑体" w:hAnsi="黑体" w:eastAsia="黑体"/>
      <w:b/>
      <w:bCs/>
      <w:kern w:val="0"/>
      <w:sz w:val="36"/>
      <w:szCs w:val="20"/>
      <w:lang w:val="zh-CN"/>
    </w:rPr>
  </w:style>
  <w:style w:type="character" w:customStyle="1" w:styleId="26">
    <w:name w:val="标题 #2 + 间距 11 pt"/>
    <w:unhideWhenUsed/>
    <w:qFormat/>
    <w:uiPriority w:val="99"/>
    <w:rPr>
      <w:rFonts w:hint="eastAsia" w:ascii="MingLiU" w:hAnsi="MingLiU" w:eastAsia="MingLiU"/>
      <w:spacing w:val="230"/>
      <w:sz w:val="45"/>
    </w:rPr>
  </w:style>
  <w:style w:type="character" w:customStyle="1" w:styleId="27">
    <w:name w:val="脚注文本 字符"/>
    <w:link w:val="13"/>
    <w:qFormat/>
    <w:uiPriority w:val="0"/>
    <w:rPr>
      <w:rFonts w:ascii="Times New Roman" w:hAnsi="Times New Roman"/>
      <w:kern w:val="2"/>
      <w:sz w:val="18"/>
      <w:szCs w:val="18"/>
    </w:rPr>
  </w:style>
  <w:style w:type="character" w:customStyle="1" w:styleId="28">
    <w:name w:val="批注框文本 字符"/>
    <w:link w:val="8"/>
    <w:qFormat/>
    <w:uiPriority w:val="0"/>
    <w:rPr>
      <w:rFonts w:ascii="Times New Roman" w:hAnsi="Times New Roman" w:eastAsia="宋体" w:cs="Times New Roman"/>
      <w:sz w:val="18"/>
      <w:szCs w:val="18"/>
    </w:rPr>
  </w:style>
  <w:style w:type="character" w:customStyle="1" w:styleId="29">
    <w:name w:val="页脚 字符"/>
    <w:link w:val="9"/>
    <w:qFormat/>
    <w:uiPriority w:val="0"/>
    <w:rPr>
      <w:sz w:val="18"/>
      <w:szCs w:val="18"/>
    </w:rPr>
  </w:style>
  <w:style w:type="character" w:customStyle="1" w:styleId="30">
    <w:name w:val="正文文本 (4) + 间距 0 pt"/>
    <w:unhideWhenUsed/>
    <w:qFormat/>
    <w:uiPriority w:val="99"/>
    <w:rPr>
      <w:rFonts w:hint="eastAsia" w:ascii="MingLiU" w:hAnsi="MingLiU" w:eastAsia="MingLiU"/>
      <w:spacing w:val="0"/>
      <w:sz w:val="45"/>
    </w:rPr>
  </w:style>
  <w:style w:type="character" w:customStyle="1" w:styleId="31">
    <w:name w:val="标题 2 字符"/>
    <w:link w:val="3"/>
    <w:qFormat/>
    <w:uiPriority w:val="0"/>
    <w:rPr>
      <w:rFonts w:ascii="Cambria" w:hAnsi="Cambria" w:eastAsia="宋体" w:cs="Times New Roman"/>
      <w:b/>
      <w:bCs/>
      <w:sz w:val="32"/>
      <w:szCs w:val="32"/>
    </w:rPr>
  </w:style>
  <w:style w:type="character" w:customStyle="1" w:styleId="32">
    <w:name w:val="grame"/>
    <w:basedOn w:val="17"/>
    <w:qFormat/>
    <w:uiPriority w:val="0"/>
  </w:style>
  <w:style w:type="character" w:customStyle="1" w:styleId="33">
    <w:name w:val="页眉 字符"/>
    <w:link w:val="11"/>
    <w:qFormat/>
    <w:uiPriority w:val="0"/>
    <w:rPr>
      <w:sz w:val="18"/>
      <w:szCs w:val="18"/>
    </w:rPr>
  </w:style>
  <w:style w:type="character" w:customStyle="1" w:styleId="34">
    <w:name w:val="正文文本首行缩进 2 字符"/>
    <w:basedOn w:val="35"/>
    <w:link w:val="10"/>
    <w:qFormat/>
    <w:uiPriority w:val="0"/>
    <w:rPr>
      <w:rFonts w:ascii="Times New Roman" w:hAnsi="Times New Roman"/>
      <w:kern w:val="2"/>
      <w:sz w:val="21"/>
      <w:szCs w:val="24"/>
    </w:rPr>
  </w:style>
  <w:style w:type="character" w:customStyle="1" w:styleId="35">
    <w:name w:val="正文文本缩进 字符"/>
    <w:link w:val="6"/>
    <w:qFormat/>
    <w:uiPriority w:val="0"/>
    <w:rPr>
      <w:rFonts w:ascii="Times New Roman" w:hAnsi="Times New Roman"/>
      <w:kern w:val="2"/>
      <w:sz w:val="21"/>
      <w:szCs w:val="24"/>
    </w:rPr>
  </w:style>
  <w:style w:type="character" w:customStyle="1" w:styleId="36">
    <w:name w:val="标题 #2_"/>
    <w:link w:val="37"/>
    <w:unhideWhenUsed/>
    <w:qFormat/>
    <w:uiPriority w:val="99"/>
    <w:rPr>
      <w:rFonts w:hint="eastAsia" w:ascii="MingLiU" w:hAnsi="MingLiU" w:eastAsia="MingLiU"/>
      <w:spacing w:val="170"/>
      <w:sz w:val="45"/>
    </w:rPr>
  </w:style>
  <w:style w:type="paragraph" w:customStyle="1" w:styleId="37">
    <w:name w:val="标题 #2"/>
    <w:basedOn w:val="1"/>
    <w:link w:val="36"/>
    <w:unhideWhenUsed/>
    <w:qFormat/>
    <w:uiPriority w:val="99"/>
    <w:pPr>
      <w:shd w:val="clear" w:color="auto" w:fill="FFFFFF"/>
      <w:spacing w:before="900" w:after="2940" w:line="240" w:lineRule="atLeast"/>
      <w:jc w:val="center"/>
      <w:outlineLvl w:val="1"/>
    </w:pPr>
    <w:rPr>
      <w:rFonts w:hint="eastAsia" w:ascii="MingLiU" w:hAnsi="MingLiU" w:eastAsia="MingLiU"/>
      <w:spacing w:val="170"/>
      <w:kern w:val="0"/>
      <w:sz w:val="45"/>
      <w:szCs w:val="20"/>
      <w:lang w:val="zh-CN"/>
    </w:rPr>
  </w:style>
  <w:style w:type="character" w:customStyle="1" w:styleId="38">
    <w:name w:val="标题 1 字符"/>
    <w:link w:val="2"/>
    <w:qFormat/>
    <w:uiPriority w:val="0"/>
    <w:rPr>
      <w:rFonts w:ascii="Times New Roman" w:hAnsi="Times New Roman" w:eastAsia="仿宋_GB2312" w:cs="Times New Roman"/>
      <w:b/>
      <w:kern w:val="44"/>
      <w:sz w:val="44"/>
      <w:szCs w:val="20"/>
    </w:rPr>
  </w:style>
  <w:style w:type="character" w:customStyle="1" w:styleId="39">
    <w:name w:val="批注主题 字符"/>
    <w:link w:val="4"/>
    <w:qFormat/>
    <w:uiPriority w:val="0"/>
    <w:rPr>
      <w:rFonts w:ascii="Times New Roman" w:hAnsi="Times New Roman"/>
      <w:b/>
      <w:bCs/>
      <w:kern w:val="2"/>
      <w:sz w:val="21"/>
      <w:szCs w:val="24"/>
    </w:rPr>
  </w:style>
  <w:style w:type="character" w:customStyle="1" w:styleId="40">
    <w:name w:val="正文文本 (4)_"/>
    <w:link w:val="41"/>
    <w:unhideWhenUsed/>
    <w:qFormat/>
    <w:uiPriority w:val="99"/>
    <w:rPr>
      <w:rFonts w:hint="eastAsia" w:ascii="MingLiU" w:hAnsi="MingLiU" w:eastAsia="MingLiU"/>
      <w:spacing w:val="170"/>
      <w:sz w:val="45"/>
    </w:rPr>
  </w:style>
  <w:style w:type="paragraph" w:customStyle="1" w:styleId="41">
    <w:name w:val="正文文本 (4)"/>
    <w:basedOn w:val="1"/>
    <w:link w:val="40"/>
    <w:unhideWhenUsed/>
    <w:qFormat/>
    <w:uiPriority w:val="99"/>
    <w:pPr>
      <w:shd w:val="clear" w:color="auto" w:fill="FFFFFF"/>
      <w:spacing w:before="900" w:after="900" w:line="240" w:lineRule="atLeast"/>
      <w:jc w:val="center"/>
    </w:pPr>
    <w:rPr>
      <w:rFonts w:hint="eastAsia" w:ascii="MingLiU" w:hAnsi="MingLiU" w:eastAsia="MingLiU"/>
      <w:spacing w:val="170"/>
      <w:kern w:val="0"/>
      <w:sz w:val="45"/>
      <w:szCs w:val="20"/>
      <w:lang w:val="zh-CN"/>
    </w:rPr>
  </w:style>
  <w:style w:type="character" w:customStyle="1" w:styleId="42">
    <w:name w:val="Body Char2"/>
    <w:link w:val="43"/>
    <w:qFormat/>
    <w:uiPriority w:val="0"/>
    <w:rPr>
      <w:rFonts w:ascii="Arial" w:hAnsi="Arial" w:eastAsia="宋体" w:cs="Times New Roman"/>
      <w:kern w:val="0"/>
      <w:sz w:val="18"/>
      <w:szCs w:val="18"/>
    </w:rPr>
  </w:style>
  <w:style w:type="paragraph" w:customStyle="1" w:styleId="43">
    <w:name w:val="Body"/>
    <w:basedOn w:val="1"/>
    <w:link w:val="42"/>
    <w:qFormat/>
    <w:uiPriority w:val="0"/>
    <w:pPr>
      <w:widowControl/>
      <w:numPr>
        <w:ilvl w:val="0"/>
        <w:numId w:val="1"/>
      </w:numPr>
      <w:snapToGrid w:val="0"/>
      <w:spacing w:before="240" w:line="400" w:lineRule="exact"/>
      <w:ind w:left="1202" w:right="-433" w:rightChars="-206"/>
    </w:pPr>
    <w:rPr>
      <w:rFonts w:ascii="Arial" w:hAnsi="Arial"/>
      <w:kern w:val="0"/>
      <w:sz w:val="18"/>
      <w:szCs w:val="18"/>
      <w:lang w:val="zh-CN"/>
    </w:rPr>
  </w:style>
  <w:style w:type="character" w:customStyle="1" w:styleId="44">
    <w:name w:val="正文文本 2 字符"/>
    <w:link w:val="15"/>
    <w:qFormat/>
    <w:uiPriority w:val="0"/>
    <w:rPr>
      <w:rFonts w:ascii="Times New Roman" w:hAnsi="Times New Roman"/>
      <w:sz w:val="21"/>
    </w:rPr>
  </w:style>
  <w:style w:type="paragraph" w:customStyle="1" w:styleId="45">
    <w:name w:val="无间隔1"/>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6">
    <w:name w:val="列表段落1"/>
    <w:basedOn w:val="1"/>
    <w:qFormat/>
    <w:uiPriority w:val="34"/>
    <w:pPr>
      <w:ind w:firstLine="420" w:firstLineChars="200"/>
    </w:pPr>
  </w:style>
  <w:style w:type="paragraph" w:customStyle="1" w:styleId="47">
    <w:name w:val="TOC 标题1"/>
    <w:basedOn w:val="2"/>
    <w:next w:val="1"/>
    <w:qFormat/>
    <w:uiPriority w:val="0"/>
    <w:pPr>
      <w:widowControl/>
      <w:adjustRightInd/>
      <w:spacing w:before="480" w:after="0" w:line="276" w:lineRule="auto"/>
      <w:jc w:val="left"/>
      <w:textAlignment w:val="auto"/>
      <w:outlineLvl w:val="9"/>
    </w:pPr>
    <w:rPr>
      <w:rFonts w:ascii="Cambria" w:hAnsi="Cambria" w:eastAsia="宋体"/>
      <w:bCs/>
      <w:color w:val="365F91"/>
      <w:kern w:val="0"/>
      <w:sz w:val="28"/>
      <w:szCs w:val="28"/>
    </w:rPr>
  </w:style>
  <w:style w:type="paragraph" w:customStyle="1" w:styleId="4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2134</Words>
  <Characters>12168</Characters>
  <Lines>101</Lines>
  <Paragraphs>28</Paragraphs>
  <ScaleCrop>false</ScaleCrop>
  <LinksUpToDate>false</LinksUpToDate>
  <CharactersWithSpaces>14274</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2019-09-09T15:08:00Z</dcterms:created>
  <dc:creator>杜骁</dc:creator>
  <cp:lastModifiedBy>wuhaidong</cp:lastModifiedBy>
  <cp:lastPrinted>2020-10-20T11:42:00Z</cp:lastPrinted>
  <dcterms:modified xsi:type="dcterms:W3CDTF">2021-05-31T16:47:33Z</dcterms:modified>
  <dc:title>上海交通大学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